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7EF49" w14:textId="749B1C63" w:rsidR="00625018" w:rsidRPr="00CC3FFF" w:rsidRDefault="000001D2">
      <w:pPr>
        <w:adjustRightInd w:val="0"/>
        <w:snapToGrid w:val="0"/>
        <w:spacing w:line="260" w:lineRule="atLeast"/>
        <w:rPr>
          <w:rFonts w:ascii="Times New Roman" w:hAnsi="Times New Roman" w:cs="Times New Roman"/>
          <w:b/>
          <w:sz w:val="20"/>
          <w:szCs w:val="20"/>
        </w:rPr>
      </w:pPr>
      <w:r w:rsidRPr="000001D2">
        <w:rPr>
          <w:rFonts w:ascii="Times New Roman" w:hAnsi="Times New Roman" w:cs="Times New Roman"/>
          <w:b/>
          <w:sz w:val="20"/>
          <w:szCs w:val="20"/>
        </w:rPr>
        <w:t xml:space="preserve">Supplementary Table 1: </w:t>
      </w:r>
      <w:r w:rsidRPr="000001D2">
        <w:rPr>
          <w:rFonts w:ascii="Times New Roman" w:hAnsi="Times New Roman" w:cs="Times New Roman"/>
          <w:sz w:val="20"/>
          <w:szCs w:val="20"/>
        </w:rPr>
        <w:t>List</w:t>
      </w:r>
      <w:r w:rsidR="005E153B">
        <w:rPr>
          <w:rFonts w:ascii="Times New Roman" w:hAnsi="Times New Roman" w:cs="Times New Roman"/>
          <w:sz w:val="20"/>
          <w:szCs w:val="20"/>
        </w:rPr>
        <w:t xml:space="preserve"> of abstracts related to the pos</w:t>
      </w:r>
      <w:r w:rsidRPr="000001D2">
        <w:rPr>
          <w:rFonts w:ascii="Times New Roman" w:hAnsi="Times New Roman" w:cs="Times New Roman"/>
          <w:sz w:val="20"/>
          <w:szCs w:val="20"/>
        </w:rPr>
        <w:t>ters presented at the StemNet 2026 meeting.</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3765"/>
        <w:gridCol w:w="4054"/>
      </w:tblGrid>
      <w:tr w:rsidR="000001D2" w:rsidRPr="00CC3FFF" w14:paraId="4A986E93" w14:textId="77777777" w:rsidTr="000001D2">
        <w:tc>
          <w:tcPr>
            <w:tcW w:w="461" w:type="dxa"/>
            <w:tcBorders>
              <w:top w:val="single" w:sz="4" w:space="0" w:color="auto"/>
              <w:bottom w:val="single" w:sz="4" w:space="0" w:color="auto"/>
            </w:tcBorders>
          </w:tcPr>
          <w:p w14:paraId="4A61E900" w14:textId="77777777" w:rsidR="000001D2" w:rsidRPr="00CC3FFF" w:rsidRDefault="000001D2" w:rsidP="00C73E2F">
            <w:pPr>
              <w:adjustRightInd w:val="0"/>
              <w:snapToGrid w:val="0"/>
              <w:spacing w:line="260" w:lineRule="atLeast"/>
              <w:rPr>
                <w:rFonts w:ascii="Times New Roman" w:eastAsia="Times New Roman" w:hAnsi="Times New Roman" w:cs="Times New Roman"/>
                <w:b/>
                <w:sz w:val="16"/>
                <w:szCs w:val="16"/>
                <w:lang w:val="en-GB"/>
              </w:rPr>
            </w:pPr>
            <w:r w:rsidRPr="00CC3FFF">
              <w:rPr>
                <w:rFonts w:ascii="Times New Roman" w:eastAsia="Times New Roman" w:hAnsi="Times New Roman" w:cs="Times New Roman"/>
                <w:b/>
                <w:sz w:val="16"/>
                <w:szCs w:val="16"/>
                <w:lang w:val="en-GB"/>
              </w:rPr>
              <w:t>No</w:t>
            </w:r>
          </w:p>
        </w:tc>
        <w:tc>
          <w:tcPr>
            <w:tcW w:w="3765" w:type="dxa"/>
            <w:tcBorders>
              <w:top w:val="single" w:sz="4" w:space="0" w:color="auto"/>
              <w:bottom w:val="single" w:sz="4" w:space="0" w:color="auto"/>
            </w:tcBorders>
          </w:tcPr>
          <w:p w14:paraId="2934734D" w14:textId="77777777" w:rsidR="000001D2" w:rsidRPr="00CC3FFF" w:rsidRDefault="000001D2" w:rsidP="00C73E2F">
            <w:pPr>
              <w:adjustRightInd w:val="0"/>
              <w:snapToGrid w:val="0"/>
              <w:spacing w:line="260" w:lineRule="atLeast"/>
              <w:rPr>
                <w:rFonts w:ascii="Times New Roman" w:eastAsia="Times New Roman" w:hAnsi="Times New Roman" w:cs="Times New Roman"/>
                <w:b/>
                <w:sz w:val="16"/>
                <w:szCs w:val="16"/>
                <w:lang w:val="en-GB"/>
              </w:rPr>
            </w:pPr>
            <w:r w:rsidRPr="00CC3FFF">
              <w:rPr>
                <w:rFonts w:ascii="Times New Roman" w:eastAsia="Times New Roman" w:hAnsi="Times New Roman" w:cs="Times New Roman"/>
                <w:b/>
                <w:sz w:val="16"/>
                <w:szCs w:val="16"/>
                <w:lang w:val="en-GB"/>
              </w:rPr>
              <w:t>Abstract title</w:t>
            </w:r>
          </w:p>
        </w:tc>
        <w:tc>
          <w:tcPr>
            <w:tcW w:w="4054" w:type="dxa"/>
            <w:tcBorders>
              <w:top w:val="single" w:sz="4" w:space="0" w:color="auto"/>
              <w:bottom w:val="single" w:sz="4" w:space="0" w:color="auto"/>
            </w:tcBorders>
          </w:tcPr>
          <w:p w14:paraId="5C3823B1" w14:textId="77777777" w:rsidR="000001D2" w:rsidRPr="00CC3FFF" w:rsidRDefault="000001D2" w:rsidP="00C73E2F">
            <w:pPr>
              <w:adjustRightInd w:val="0"/>
              <w:snapToGrid w:val="0"/>
              <w:spacing w:line="260" w:lineRule="atLeast"/>
              <w:rPr>
                <w:rFonts w:ascii="Times New Roman" w:eastAsia="Times New Roman" w:hAnsi="Times New Roman" w:cs="Times New Roman"/>
                <w:b/>
                <w:sz w:val="16"/>
                <w:szCs w:val="16"/>
                <w:lang w:val="en-GB"/>
              </w:rPr>
            </w:pPr>
            <w:r w:rsidRPr="00CC3FFF">
              <w:rPr>
                <w:rFonts w:ascii="Times New Roman" w:eastAsia="Times New Roman" w:hAnsi="Times New Roman" w:cs="Times New Roman"/>
                <w:b/>
                <w:sz w:val="16"/>
                <w:szCs w:val="16"/>
                <w:lang w:val="en-GB"/>
              </w:rPr>
              <w:t>Authors</w:t>
            </w:r>
          </w:p>
        </w:tc>
      </w:tr>
      <w:tr w:rsidR="000001D2" w:rsidRPr="00CC3FFF" w14:paraId="2A326383" w14:textId="77777777" w:rsidTr="000001D2">
        <w:tc>
          <w:tcPr>
            <w:tcW w:w="461" w:type="dxa"/>
            <w:tcBorders>
              <w:top w:val="single" w:sz="4" w:space="0" w:color="auto"/>
              <w:bottom w:val="dotted" w:sz="4" w:space="0" w:color="auto"/>
            </w:tcBorders>
          </w:tcPr>
          <w:p w14:paraId="54D6CE8C" w14:textId="118B7058"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w:t>
            </w:r>
          </w:p>
        </w:tc>
        <w:tc>
          <w:tcPr>
            <w:tcW w:w="3765" w:type="dxa"/>
            <w:tcBorders>
              <w:top w:val="single" w:sz="4" w:space="0" w:color="auto"/>
              <w:bottom w:val="dotted" w:sz="4" w:space="0" w:color="auto"/>
            </w:tcBorders>
          </w:tcPr>
          <w:p w14:paraId="4FBEC632" w14:textId="53DBE5B3"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Equine osteoarthritis-related microRNA analysis in extracellular vesicles from horse mesenchymal stromal cells: a preliminary investigation</w:t>
            </w:r>
          </w:p>
        </w:tc>
        <w:tc>
          <w:tcPr>
            <w:tcW w:w="4054" w:type="dxa"/>
            <w:tcBorders>
              <w:top w:val="single" w:sz="4" w:space="0" w:color="auto"/>
              <w:bottom w:val="dotted" w:sz="4" w:space="0" w:color="auto"/>
            </w:tcBorders>
          </w:tcPr>
          <w:p w14:paraId="64C6573C" w14:textId="1A9B7F27" w:rsidR="000001D2" w:rsidRPr="00CC3FFF" w:rsidRDefault="000001D2" w:rsidP="00C15BA3">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F. Allemanno, S. Miretti, P. Accornero, I. Manenti, E. Martignani</w:t>
            </w:r>
          </w:p>
        </w:tc>
      </w:tr>
      <w:tr w:rsidR="000001D2" w:rsidRPr="00CC3FFF" w14:paraId="729D188D" w14:textId="77777777" w:rsidTr="000001D2">
        <w:tc>
          <w:tcPr>
            <w:tcW w:w="461" w:type="dxa"/>
            <w:tcBorders>
              <w:top w:val="dotted" w:sz="4" w:space="0" w:color="auto"/>
              <w:bottom w:val="dotted" w:sz="4" w:space="0" w:color="auto"/>
            </w:tcBorders>
          </w:tcPr>
          <w:p w14:paraId="6A207041" w14:textId="2B807A71"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2</w:t>
            </w:r>
          </w:p>
        </w:tc>
        <w:tc>
          <w:tcPr>
            <w:tcW w:w="3765" w:type="dxa"/>
            <w:tcBorders>
              <w:top w:val="dotted" w:sz="4" w:space="0" w:color="auto"/>
              <w:bottom w:val="dotted" w:sz="4" w:space="0" w:color="auto"/>
            </w:tcBorders>
          </w:tcPr>
          <w:p w14:paraId="797F5B61" w14:textId="0DAAC860"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Effect of equine mesenchymal stromal/stem cell secretome on equine oocyte nuclear maturation</w:t>
            </w:r>
          </w:p>
        </w:tc>
        <w:tc>
          <w:tcPr>
            <w:tcW w:w="4054" w:type="dxa"/>
            <w:tcBorders>
              <w:top w:val="dotted" w:sz="4" w:space="0" w:color="auto"/>
              <w:bottom w:val="dotted" w:sz="4" w:space="0" w:color="auto"/>
            </w:tcBorders>
          </w:tcPr>
          <w:p w14:paraId="5B3A51DE" w14:textId="50E06858" w:rsidR="000001D2" w:rsidRPr="00CC3FFF" w:rsidRDefault="000001D2" w:rsidP="007459EB">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 xml:space="preserve">E. Attolini, B. Siri, A. Capone, E. Iacono, B. Merlo </w:t>
            </w:r>
          </w:p>
        </w:tc>
      </w:tr>
      <w:tr w:rsidR="000001D2" w:rsidRPr="00CC3FFF" w14:paraId="530F8EC6" w14:textId="77777777" w:rsidTr="000001D2">
        <w:tc>
          <w:tcPr>
            <w:tcW w:w="461" w:type="dxa"/>
            <w:tcBorders>
              <w:top w:val="dotted" w:sz="4" w:space="0" w:color="auto"/>
              <w:bottom w:val="dotted" w:sz="4" w:space="0" w:color="auto"/>
            </w:tcBorders>
          </w:tcPr>
          <w:p w14:paraId="0FC3D083" w14:textId="5266B91C"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w:t>
            </w:r>
          </w:p>
        </w:tc>
        <w:tc>
          <w:tcPr>
            <w:tcW w:w="3765" w:type="dxa"/>
            <w:tcBorders>
              <w:top w:val="dotted" w:sz="4" w:space="0" w:color="auto"/>
              <w:bottom w:val="dotted" w:sz="4" w:space="0" w:color="auto"/>
            </w:tcBorders>
          </w:tcPr>
          <w:p w14:paraId="6622EBA8" w14:textId="1F4BFE70"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Decellularized and lyophilized dermal scaffolds loaded with the lyosecretome of mesenchymal stem cells for skin regeneration</w:t>
            </w:r>
          </w:p>
        </w:tc>
        <w:tc>
          <w:tcPr>
            <w:tcW w:w="4054" w:type="dxa"/>
            <w:tcBorders>
              <w:top w:val="dotted" w:sz="4" w:space="0" w:color="auto"/>
              <w:bottom w:val="dotted" w:sz="4" w:space="0" w:color="auto"/>
            </w:tcBorders>
          </w:tcPr>
          <w:p w14:paraId="64B78377" w14:textId="55EBD313" w:rsidR="000001D2" w:rsidRPr="00CC3FFF" w:rsidRDefault="000001D2" w:rsidP="006C4A2B">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E. Bari, M. C. Tosca, S. Turi, D. Lim, A. M., E. Bertania, L. Segale, L. Giovannelli, I. Miletto, I. R. Renzulli, R. Rossi, P. Mauri, D. Di Silvestre, G. Sesana, M. L. Torre</w:t>
            </w:r>
          </w:p>
        </w:tc>
      </w:tr>
      <w:tr w:rsidR="000001D2" w:rsidRPr="00CC3FFF" w14:paraId="2D1E0A32" w14:textId="77777777" w:rsidTr="000001D2">
        <w:tc>
          <w:tcPr>
            <w:tcW w:w="461" w:type="dxa"/>
            <w:tcBorders>
              <w:top w:val="dotted" w:sz="4" w:space="0" w:color="auto"/>
              <w:bottom w:val="dotted" w:sz="4" w:space="0" w:color="auto"/>
            </w:tcBorders>
          </w:tcPr>
          <w:p w14:paraId="16E5310D" w14:textId="2847254C"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4</w:t>
            </w:r>
          </w:p>
        </w:tc>
        <w:tc>
          <w:tcPr>
            <w:tcW w:w="3765" w:type="dxa"/>
            <w:tcBorders>
              <w:top w:val="dotted" w:sz="4" w:space="0" w:color="auto"/>
              <w:bottom w:val="dotted" w:sz="4" w:space="0" w:color="auto"/>
            </w:tcBorders>
          </w:tcPr>
          <w:p w14:paraId="71978182" w14:textId="5FC92339"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Adaptive mitochondrial quality control supports oxidative stress resistance in Muse cells</w:t>
            </w:r>
          </w:p>
        </w:tc>
        <w:tc>
          <w:tcPr>
            <w:tcW w:w="4054" w:type="dxa"/>
            <w:tcBorders>
              <w:top w:val="dotted" w:sz="4" w:space="0" w:color="auto"/>
              <w:bottom w:val="dotted" w:sz="4" w:space="0" w:color="auto"/>
            </w:tcBorders>
          </w:tcPr>
          <w:p w14:paraId="5C50447F" w14:textId="4E3F1596" w:rsidR="000001D2" w:rsidRPr="00CC3FFF" w:rsidRDefault="000001D2" w:rsidP="005D7278">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M. Bernazeaud, D. Aprile, T. Squillaro, N. Alessio, U. Galderisi, G. Di Bernardo</w:t>
            </w:r>
          </w:p>
        </w:tc>
      </w:tr>
      <w:tr w:rsidR="000001D2" w:rsidRPr="00CC3FFF" w14:paraId="662946D1" w14:textId="77777777" w:rsidTr="000001D2">
        <w:tc>
          <w:tcPr>
            <w:tcW w:w="461" w:type="dxa"/>
            <w:tcBorders>
              <w:top w:val="dotted" w:sz="4" w:space="0" w:color="auto"/>
              <w:bottom w:val="dotted" w:sz="4" w:space="0" w:color="auto"/>
            </w:tcBorders>
          </w:tcPr>
          <w:p w14:paraId="7479F9B3" w14:textId="5432190F"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5</w:t>
            </w:r>
          </w:p>
        </w:tc>
        <w:tc>
          <w:tcPr>
            <w:tcW w:w="3765" w:type="dxa"/>
            <w:tcBorders>
              <w:top w:val="dotted" w:sz="4" w:space="0" w:color="auto"/>
              <w:bottom w:val="dotted" w:sz="4" w:space="0" w:color="auto"/>
            </w:tcBorders>
          </w:tcPr>
          <w:p w14:paraId="066D4A8E" w14:textId="4036ACDE"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Design of silk fibroin-based hydrogels functionalized with extracellular matrix and mesenchymal stem cell secretome for skin bioprinting</w:t>
            </w:r>
          </w:p>
        </w:tc>
        <w:tc>
          <w:tcPr>
            <w:tcW w:w="4054" w:type="dxa"/>
            <w:tcBorders>
              <w:top w:val="dotted" w:sz="4" w:space="0" w:color="auto"/>
              <w:bottom w:val="dotted" w:sz="4" w:space="0" w:color="auto"/>
            </w:tcBorders>
          </w:tcPr>
          <w:p w14:paraId="29D1ED3F" w14:textId="1E00E3BB" w:rsidR="000001D2" w:rsidRPr="00CC3FFF" w:rsidRDefault="000001D2" w:rsidP="00600E36">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E. Bertania, A. Modena, E. Bari, I. Miletto, L. Segale, L. Giovannelli, M. Conti, F. Scocozza, M. Rinaldi, M. L. Torre</w:t>
            </w:r>
          </w:p>
        </w:tc>
      </w:tr>
      <w:tr w:rsidR="000001D2" w:rsidRPr="00CC3FFF" w14:paraId="7F3CDE58" w14:textId="77777777" w:rsidTr="000001D2">
        <w:tc>
          <w:tcPr>
            <w:tcW w:w="461" w:type="dxa"/>
            <w:tcBorders>
              <w:top w:val="dotted" w:sz="4" w:space="0" w:color="auto"/>
              <w:bottom w:val="dotted" w:sz="4" w:space="0" w:color="auto"/>
            </w:tcBorders>
          </w:tcPr>
          <w:p w14:paraId="588EB8C9" w14:textId="1298A9DA"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6</w:t>
            </w:r>
          </w:p>
        </w:tc>
        <w:tc>
          <w:tcPr>
            <w:tcW w:w="3765" w:type="dxa"/>
            <w:tcBorders>
              <w:top w:val="dotted" w:sz="4" w:space="0" w:color="auto"/>
              <w:bottom w:val="dotted" w:sz="4" w:space="0" w:color="auto"/>
            </w:tcBorders>
          </w:tcPr>
          <w:p w14:paraId="7653D055" w14:textId="543DB074"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Cell-specific targeting via a gmp-ready microfluidic carrier-in-carrier system of silk fibroin nanoparticles encapsulated in extracellular vesicles</w:t>
            </w:r>
          </w:p>
        </w:tc>
        <w:tc>
          <w:tcPr>
            <w:tcW w:w="4054" w:type="dxa"/>
            <w:tcBorders>
              <w:top w:val="dotted" w:sz="4" w:space="0" w:color="auto"/>
              <w:bottom w:val="dotted" w:sz="4" w:space="0" w:color="auto"/>
            </w:tcBorders>
          </w:tcPr>
          <w:p w14:paraId="086C3A81" w14:textId="149F4DE1" w:rsidR="000001D2" w:rsidRPr="00CC3FFF" w:rsidRDefault="000001D2" w:rsidP="00134AF7">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E. Bertania, A. Modena, E. Bari, L. Segale, L. Giovannelli, D. Lim, M. L. Torre</w:t>
            </w:r>
          </w:p>
        </w:tc>
      </w:tr>
      <w:tr w:rsidR="000001D2" w:rsidRPr="00CC3FFF" w14:paraId="254D868F" w14:textId="77777777" w:rsidTr="000001D2">
        <w:tc>
          <w:tcPr>
            <w:tcW w:w="461" w:type="dxa"/>
            <w:tcBorders>
              <w:top w:val="dotted" w:sz="4" w:space="0" w:color="auto"/>
              <w:bottom w:val="dotted" w:sz="4" w:space="0" w:color="auto"/>
            </w:tcBorders>
          </w:tcPr>
          <w:p w14:paraId="5D2ADC9D" w14:textId="26F8EB75"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7</w:t>
            </w:r>
          </w:p>
        </w:tc>
        <w:tc>
          <w:tcPr>
            <w:tcW w:w="3765" w:type="dxa"/>
            <w:tcBorders>
              <w:top w:val="dotted" w:sz="4" w:space="0" w:color="auto"/>
              <w:bottom w:val="dotted" w:sz="4" w:space="0" w:color="auto"/>
            </w:tcBorders>
          </w:tcPr>
          <w:p w14:paraId="505E5C9C" w14:textId="6118DA0E"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Mesenchymal stromal cells - derived extracellular vesicles inhibit pyroptosis and protect tissue integrity in models of bronchopulmonary dysplasia</w:t>
            </w:r>
          </w:p>
        </w:tc>
        <w:tc>
          <w:tcPr>
            <w:tcW w:w="4054" w:type="dxa"/>
            <w:tcBorders>
              <w:top w:val="dotted" w:sz="4" w:space="0" w:color="auto"/>
              <w:bottom w:val="dotted" w:sz="4" w:space="0" w:color="auto"/>
            </w:tcBorders>
          </w:tcPr>
          <w:p w14:paraId="4F13A3E3" w14:textId="1EB21AA2" w:rsidR="000001D2" w:rsidRPr="00CC3FFF" w:rsidRDefault="000001D2" w:rsidP="00B145D3">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P. Bisaccia, A. Rivosecchi, R. Moll-Diaz, E. Bettella, A. Zaramella, A. H. D. Hochuli, M. Duci, S. Mallavarapu, M. Jurga, M. Muraca, M. Pozzobon</w:t>
            </w:r>
          </w:p>
        </w:tc>
      </w:tr>
      <w:tr w:rsidR="000001D2" w:rsidRPr="00CC3FFF" w14:paraId="604A9ED7" w14:textId="77777777" w:rsidTr="000001D2">
        <w:tc>
          <w:tcPr>
            <w:tcW w:w="461" w:type="dxa"/>
            <w:tcBorders>
              <w:top w:val="dotted" w:sz="4" w:space="0" w:color="auto"/>
              <w:bottom w:val="dotted" w:sz="4" w:space="0" w:color="auto"/>
            </w:tcBorders>
          </w:tcPr>
          <w:p w14:paraId="2A2FDD10" w14:textId="1363AED7"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8</w:t>
            </w:r>
          </w:p>
        </w:tc>
        <w:tc>
          <w:tcPr>
            <w:tcW w:w="3765" w:type="dxa"/>
            <w:tcBorders>
              <w:top w:val="dotted" w:sz="4" w:space="0" w:color="auto"/>
              <w:bottom w:val="dotted" w:sz="4" w:space="0" w:color="auto"/>
            </w:tcBorders>
          </w:tcPr>
          <w:p w14:paraId="094082BC" w14:textId="65E1C36B"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KLHL14 and its X1 isoform act as central regulators of epithelial plasticity by controlling epithelial-mesenchymal transition in amniotic epithelial stem cells and hepatocarcinoma cells</w:t>
            </w:r>
          </w:p>
        </w:tc>
        <w:tc>
          <w:tcPr>
            <w:tcW w:w="4054" w:type="dxa"/>
            <w:tcBorders>
              <w:top w:val="dotted" w:sz="4" w:space="0" w:color="auto"/>
              <w:bottom w:val="dotted" w:sz="4" w:space="0" w:color="auto"/>
            </w:tcBorders>
          </w:tcPr>
          <w:p w14:paraId="0AE42A8F" w14:textId="371F3BD1" w:rsidR="000001D2" w:rsidRPr="00CC3FFF" w:rsidRDefault="000001D2" w:rsidP="0060193B">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A. Canciello, V. Di Giulio, M. R. Citeroni, E. Carletti, A. De Luca, M. Turriani, O. Di Giacinto, B. Barboni</w:t>
            </w:r>
          </w:p>
        </w:tc>
      </w:tr>
      <w:tr w:rsidR="000001D2" w:rsidRPr="00CC3FFF" w14:paraId="6FF28ACA" w14:textId="77777777" w:rsidTr="000001D2">
        <w:tc>
          <w:tcPr>
            <w:tcW w:w="461" w:type="dxa"/>
            <w:tcBorders>
              <w:top w:val="dotted" w:sz="4" w:space="0" w:color="auto"/>
              <w:bottom w:val="dotted" w:sz="4" w:space="0" w:color="auto"/>
            </w:tcBorders>
          </w:tcPr>
          <w:p w14:paraId="29BC99F7" w14:textId="6C8E8675"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9</w:t>
            </w:r>
          </w:p>
        </w:tc>
        <w:tc>
          <w:tcPr>
            <w:tcW w:w="3765" w:type="dxa"/>
            <w:tcBorders>
              <w:top w:val="dotted" w:sz="4" w:space="0" w:color="auto"/>
              <w:bottom w:val="dotted" w:sz="4" w:space="0" w:color="auto"/>
            </w:tcBorders>
          </w:tcPr>
          <w:p w14:paraId="436B55DF" w14:textId="0653C9BD"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Hypoxia-driven functional modulation of canine umbilical cord–derived mesenchymal stromal cells: implications for pulmonary vascular regeneration</w:t>
            </w:r>
          </w:p>
        </w:tc>
        <w:tc>
          <w:tcPr>
            <w:tcW w:w="4054" w:type="dxa"/>
            <w:tcBorders>
              <w:top w:val="dotted" w:sz="4" w:space="0" w:color="auto"/>
              <w:bottom w:val="dotted" w:sz="4" w:space="0" w:color="auto"/>
            </w:tcBorders>
          </w:tcPr>
          <w:p w14:paraId="07CA2E3F" w14:textId="48F5F733" w:rsidR="000001D2" w:rsidRPr="00CC3FFF" w:rsidRDefault="000001D2" w:rsidP="00483A41">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A. Capone, B. Merlo, V. A. Bardassarro, E. Iacono</w:t>
            </w:r>
          </w:p>
        </w:tc>
      </w:tr>
      <w:tr w:rsidR="000001D2" w:rsidRPr="00CC3FFF" w14:paraId="16FC5D40" w14:textId="77777777" w:rsidTr="000001D2">
        <w:tc>
          <w:tcPr>
            <w:tcW w:w="461" w:type="dxa"/>
            <w:tcBorders>
              <w:top w:val="dotted" w:sz="4" w:space="0" w:color="auto"/>
              <w:bottom w:val="dotted" w:sz="4" w:space="0" w:color="auto"/>
            </w:tcBorders>
          </w:tcPr>
          <w:p w14:paraId="46C35FA5" w14:textId="1679F245"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10</w:t>
            </w:r>
          </w:p>
        </w:tc>
        <w:tc>
          <w:tcPr>
            <w:tcW w:w="3765" w:type="dxa"/>
            <w:tcBorders>
              <w:top w:val="dotted" w:sz="4" w:space="0" w:color="auto"/>
              <w:bottom w:val="dotted" w:sz="4" w:space="0" w:color="auto"/>
            </w:tcBorders>
          </w:tcPr>
          <w:p w14:paraId="503904F2" w14:textId="76DAD8BA"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Moda project: a randomized controlled trial to evaluate the decellularized human dermis in combination with orthobiologic stimuli for the arthroscopic augmentation of massive rotator cuff tears</w:t>
            </w:r>
          </w:p>
        </w:tc>
        <w:tc>
          <w:tcPr>
            <w:tcW w:w="4054" w:type="dxa"/>
            <w:tcBorders>
              <w:top w:val="dotted" w:sz="4" w:space="0" w:color="auto"/>
              <w:bottom w:val="dotted" w:sz="4" w:space="0" w:color="auto"/>
            </w:tcBorders>
          </w:tcPr>
          <w:p w14:paraId="367FA71C" w14:textId="03444729" w:rsidR="000001D2" w:rsidRPr="00CC3FFF" w:rsidRDefault="000001D2" w:rsidP="0090055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M. Carniato, G. Codispoti, S. Pagani, G. Giavaresi, M. Cavallo, V. Brunello, E. Guerra, M. Tschon</w:t>
            </w:r>
          </w:p>
        </w:tc>
      </w:tr>
      <w:tr w:rsidR="000001D2" w:rsidRPr="00CC3FFF" w14:paraId="0A553453" w14:textId="77777777" w:rsidTr="000001D2">
        <w:tc>
          <w:tcPr>
            <w:tcW w:w="461" w:type="dxa"/>
            <w:tcBorders>
              <w:top w:val="dotted" w:sz="4" w:space="0" w:color="auto"/>
              <w:bottom w:val="dotted" w:sz="4" w:space="0" w:color="auto"/>
            </w:tcBorders>
          </w:tcPr>
          <w:p w14:paraId="6A922628" w14:textId="0FCFC74A"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11</w:t>
            </w:r>
          </w:p>
        </w:tc>
        <w:tc>
          <w:tcPr>
            <w:tcW w:w="3765" w:type="dxa"/>
            <w:tcBorders>
              <w:top w:val="dotted" w:sz="4" w:space="0" w:color="auto"/>
              <w:bottom w:val="dotted" w:sz="4" w:space="0" w:color="auto"/>
            </w:tcBorders>
          </w:tcPr>
          <w:p w14:paraId="03CEB86F" w14:textId="12A59C0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Patient iPSC-derived cerebral organoid as a multicellular model to mimic the complexity of the central nervous system</w:t>
            </w:r>
          </w:p>
        </w:tc>
        <w:tc>
          <w:tcPr>
            <w:tcW w:w="4054" w:type="dxa"/>
            <w:tcBorders>
              <w:top w:val="dotted" w:sz="4" w:space="0" w:color="auto"/>
              <w:bottom w:val="dotted" w:sz="4" w:space="0" w:color="auto"/>
            </w:tcBorders>
          </w:tcPr>
          <w:p w14:paraId="2C861D04" w14:textId="2CA00CF1" w:rsidR="000001D2" w:rsidRPr="00CC3FFF" w:rsidRDefault="000001D2" w:rsidP="0079509A">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L. Carpinelli, D. Sibilia, P. N. Doronzio, F. Giacalone, C. Lisciandrello, E. Guadagni, A. Conte, S. Lattante, M. Magatti, A. Silini, Facility Biobanca, Facility Citometria a Flusso, L. Di Pietro, M. Sabatelli, O. Parolini</w:t>
            </w:r>
          </w:p>
        </w:tc>
      </w:tr>
      <w:tr w:rsidR="000001D2" w:rsidRPr="00CC3FFF" w14:paraId="7A4F2DE2" w14:textId="77777777" w:rsidTr="000001D2">
        <w:tc>
          <w:tcPr>
            <w:tcW w:w="461" w:type="dxa"/>
            <w:tcBorders>
              <w:top w:val="dotted" w:sz="4" w:space="0" w:color="auto"/>
              <w:bottom w:val="dotted" w:sz="4" w:space="0" w:color="auto"/>
            </w:tcBorders>
          </w:tcPr>
          <w:p w14:paraId="01C51B30" w14:textId="1A4D997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12</w:t>
            </w:r>
          </w:p>
        </w:tc>
        <w:tc>
          <w:tcPr>
            <w:tcW w:w="3765" w:type="dxa"/>
            <w:tcBorders>
              <w:top w:val="dotted" w:sz="4" w:space="0" w:color="auto"/>
              <w:bottom w:val="dotted" w:sz="4" w:space="0" w:color="auto"/>
            </w:tcBorders>
          </w:tcPr>
          <w:p w14:paraId="01B0BB69" w14:textId="3608D54B"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A three-dimensional bioprinted colorectal cancer model based on tumor-derived extracellular matrix, apelin-13 and type I collagen to study tumor–stroma interactions</w:t>
            </w:r>
          </w:p>
        </w:tc>
        <w:tc>
          <w:tcPr>
            <w:tcW w:w="4054" w:type="dxa"/>
            <w:tcBorders>
              <w:top w:val="dotted" w:sz="4" w:space="0" w:color="auto"/>
              <w:bottom w:val="dotted" w:sz="4" w:space="0" w:color="auto"/>
            </w:tcBorders>
          </w:tcPr>
          <w:p w14:paraId="74125CBF" w14:textId="56AE74FA" w:rsidR="000001D2" w:rsidRPr="00CC3FFF" w:rsidRDefault="000001D2" w:rsidP="00646105">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G. Cendron, H. Siahmansouri, S. Pontara, F. Papadia, R. Benelli, F. Grillo, D. Fenoglio, G. Filaci, C. Gentili, M. Mastrogiacomo</w:t>
            </w:r>
          </w:p>
        </w:tc>
      </w:tr>
      <w:tr w:rsidR="000001D2" w:rsidRPr="00CC3FFF" w14:paraId="0BF4CE3D" w14:textId="77777777" w:rsidTr="000001D2">
        <w:tc>
          <w:tcPr>
            <w:tcW w:w="461" w:type="dxa"/>
            <w:tcBorders>
              <w:top w:val="dotted" w:sz="4" w:space="0" w:color="auto"/>
              <w:bottom w:val="dotted" w:sz="4" w:space="0" w:color="auto"/>
            </w:tcBorders>
          </w:tcPr>
          <w:p w14:paraId="4AA0434B" w14:textId="5276C31D"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13</w:t>
            </w:r>
          </w:p>
        </w:tc>
        <w:tc>
          <w:tcPr>
            <w:tcW w:w="3765" w:type="dxa"/>
            <w:tcBorders>
              <w:top w:val="dotted" w:sz="4" w:space="0" w:color="auto"/>
              <w:bottom w:val="dotted" w:sz="4" w:space="0" w:color="auto"/>
            </w:tcBorders>
          </w:tcPr>
          <w:p w14:paraId="01426865" w14:textId="1E06127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Targeting nuclear lamina defects to impair epithelial-to-mesenchymal transition and stemness in glioblastoma</w:t>
            </w:r>
          </w:p>
        </w:tc>
        <w:tc>
          <w:tcPr>
            <w:tcW w:w="4054" w:type="dxa"/>
            <w:tcBorders>
              <w:top w:val="dotted" w:sz="4" w:space="0" w:color="auto"/>
              <w:bottom w:val="dotted" w:sz="4" w:space="0" w:color="auto"/>
            </w:tcBorders>
          </w:tcPr>
          <w:p w14:paraId="6BAB9D7E" w14:textId="13E0C060" w:rsidR="000001D2" w:rsidRPr="00CC3FFF" w:rsidRDefault="000001D2" w:rsidP="00E204C6">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C. B. Cerchier, M. V. Marvi, I. Rusciano, L. Manzoli, C. Capanni, C. Evangelisti, S. Ratti</w:t>
            </w:r>
          </w:p>
        </w:tc>
      </w:tr>
      <w:tr w:rsidR="000001D2" w:rsidRPr="00CC3FFF" w14:paraId="4FB0DA33" w14:textId="77777777" w:rsidTr="000001D2">
        <w:tc>
          <w:tcPr>
            <w:tcW w:w="461" w:type="dxa"/>
            <w:tcBorders>
              <w:top w:val="dotted" w:sz="4" w:space="0" w:color="auto"/>
              <w:bottom w:val="dotted" w:sz="4" w:space="0" w:color="auto"/>
            </w:tcBorders>
          </w:tcPr>
          <w:p w14:paraId="4998A492" w14:textId="345A6838"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14</w:t>
            </w:r>
          </w:p>
        </w:tc>
        <w:tc>
          <w:tcPr>
            <w:tcW w:w="3765" w:type="dxa"/>
            <w:tcBorders>
              <w:top w:val="dotted" w:sz="4" w:space="0" w:color="auto"/>
              <w:bottom w:val="dotted" w:sz="4" w:space="0" w:color="auto"/>
            </w:tcBorders>
          </w:tcPr>
          <w:p w14:paraId="7FEE4788" w14:textId="6DB7F786"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Pathological features of mesenchymal stromal cells isolated from human diseased vascular wall: implications for translational perspectives</w:t>
            </w:r>
          </w:p>
        </w:tc>
        <w:tc>
          <w:tcPr>
            <w:tcW w:w="4054" w:type="dxa"/>
            <w:tcBorders>
              <w:top w:val="dotted" w:sz="4" w:space="0" w:color="auto"/>
              <w:bottom w:val="dotted" w:sz="4" w:space="0" w:color="auto"/>
            </w:tcBorders>
          </w:tcPr>
          <w:p w14:paraId="733B2C15" w14:textId="2CF2B86E" w:rsidR="000001D2" w:rsidRPr="00CC3FFF" w:rsidRDefault="000001D2" w:rsidP="003424B8">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C. Ciavarella, F. Alviano, M. Gargiulo, G. Pasquinelli</w:t>
            </w:r>
          </w:p>
        </w:tc>
      </w:tr>
      <w:tr w:rsidR="000001D2" w:rsidRPr="00CC3FFF" w14:paraId="158782BA" w14:textId="77777777" w:rsidTr="000001D2">
        <w:tc>
          <w:tcPr>
            <w:tcW w:w="461" w:type="dxa"/>
            <w:tcBorders>
              <w:top w:val="dotted" w:sz="4" w:space="0" w:color="auto"/>
              <w:bottom w:val="dotted" w:sz="4" w:space="0" w:color="auto"/>
            </w:tcBorders>
          </w:tcPr>
          <w:p w14:paraId="4EAFA919" w14:textId="067DB2B6"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15</w:t>
            </w:r>
          </w:p>
        </w:tc>
        <w:tc>
          <w:tcPr>
            <w:tcW w:w="3765" w:type="dxa"/>
            <w:tcBorders>
              <w:top w:val="dotted" w:sz="4" w:space="0" w:color="auto"/>
              <w:bottom w:val="dotted" w:sz="4" w:space="0" w:color="auto"/>
            </w:tcBorders>
          </w:tcPr>
          <w:p w14:paraId="43F7045D" w14:textId="793AB046"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In vivo evaluation of an ultrasound-stimulated smart piezoelectric nanocomposite hydrogel enriched with adipose-derived mesenchymal stromal cells for osteoarthritis treatment</w:t>
            </w:r>
          </w:p>
        </w:tc>
        <w:tc>
          <w:tcPr>
            <w:tcW w:w="4054" w:type="dxa"/>
            <w:tcBorders>
              <w:top w:val="dotted" w:sz="4" w:space="0" w:color="auto"/>
              <w:bottom w:val="dotted" w:sz="4" w:space="0" w:color="auto"/>
            </w:tcBorders>
          </w:tcPr>
          <w:p w14:paraId="766F4D48" w14:textId="4ABC9BC2" w:rsidR="000001D2" w:rsidRPr="00CC3FFF" w:rsidRDefault="000001D2" w:rsidP="00174101">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G. Codispoti, M. Carniato, L. Martini, G. Giavaresi, G. D’Atri, C. Manferdini, G. Lisignoli, L. Ricotti, M. Tschon</w:t>
            </w:r>
          </w:p>
        </w:tc>
      </w:tr>
      <w:tr w:rsidR="000001D2" w:rsidRPr="00CC3FFF" w14:paraId="65470B5D" w14:textId="77777777" w:rsidTr="000001D2">
        <w:tc>
          <w:tcPr>
            <w:tcW w:w="461" w:type="dxa"/>
            <w:tcBorders>
              <w:top w:val="dotted" w:sz="4" w:space="0" w:color="auto"/>
              <w:bottom w:val="dotted" w:sz="4" w:space="0" w:color="auto"/>
            </w:tcBorders>
          </w:tcPr>
          <w:p w14:paraId="0AAEC9FA" w14:textId="36D95B0A"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16</w:t>
            </w:r>
          </w:p>
        </w:tc>
        <w:tc>
          <w:tcPr>
            <w:tcW w:w="3765" w:type="dxa"/>
            <w:tcBorders>
              <w:top w:val="dotted" w:sz="4" w:space="0" w:color="auto"/>
              <w:bottom w:val="dotted" w:sz="4" w:space="0" w:color="auto"/>
            </w:tcBorders>
          </w:tcPr>
          <w:p w14:paraId="6E873C55" w14:textId="6F7B6AA3"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Designing three-dimensional scaffolds to investigate limb girdle muscular dystrophy transportin 3 related</w:t>
            </w:r>
          </w:p>
        </w:tc>
        <w:tc>
          <w:tcPr>
            <w:tcW w:w="4054" w:type="dxa"/>
            <w:tcBorders>
              <w:top w:val="dotted" w:sz="4" w:space="0" w:color="auto"/>
              <w:bottom w:val="dotted" w:sz="4" w:space="0" w:color="auto"/>
            </w:tcBorders>
          </w:tcPr>
          <w:p w14:paraId="552271C7" w14:textId="0801A248" w:rsidR="000001D2" w:rsidRPr="00CC3FFF" w:rsidRDefault="000001D2" w:rsidP="001E0BD8">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S. Pacilio, R. Costa, M. T. Rodia, S. Lombardi, L. Di Lisa, G. Banos, N. Didier, E. Malfatti, S. Ratti, M. L. Focarete, G. Cenacchi, F. Alviano</w:t>
            </w:r>
          </w:p>
        </w:tc>
      </w:tr>
      <w:tr w:rsidR="000001D2" w:rsidRPr="00CC3FFF" w14:paraId="3587D40B" w14:textId="77777777" w:rsidTr="000001D2">
        <w:tc>
          <w:tcPr>
            <w:tcW w:w="461" w:type="dxa"/>
            <w:tcBorders>
              <w:top w:val="dotted" w:sz="4" w:space="0" w:color="auto"/>
              <w:bottom w:val="dotted" w:sz="4" w:space="0" w:color="auto"/>
            </w:tcBorders>
          </w:tcPr>
          <w:p w14:paraId="718BE1F2" w14:textId="4D60D5C3"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17</w:t>
            </w:r>
          </w:p>
        </w:tc>
        <w:tc>
          <w:tcPr>
            <w:tcW w:w="3765" w:type="dxa"/>
            <w:tcBorders>
              <w:top w:val="dotted" w:sz="4" w:space="0" w:color="auto"/>
              <w:bottom w:val="dotted" w:sz="4" w:space="0" w:color="auto"/>
            </w:tcBorders>
          </w:tcPr>
          <w:p w14:paraId="1E680816" w14:textId="69B39CD4"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 xml:space="preserve">Development and validation of clinically-relevant large </w:t>
            </w:r>
            <w:r w:rsidRPr="00CC3FFF">
              <w:rPr>
                <w:rFonts w:ascii="Times New Roman" w:eastAsia="Times New Roman" w:hAnsi="Times New Roman" w:cs="Times New Roman"/>
                <w:sz w:val="16"/>
                <w:szCs w:val="16"/>
                <w:lang w:val="en-GB"/>
              </w:rPr>
              <w:lastRenderedPageBreak/>
              <w:t>animal model of meniscal degeneration</w:t>
            </w:r>
          </w:p>
        </w:tc>
        <w:tc>
          <w:tcPr>
            <w:tcW w:w="4054" w:type="dxa"/>
            <w:tcBorders>
              <w:top w:val="dotted" w:sz="4" w:space="0" w:color="auto"/>
              <w:bottom w:val="dotted" w:sz="4" w:space="0" w:color="auto"/>
            </w:tcBorders>
          </w:tcPr>
          <w:p w14:paraId="180B018C" w14:textId="386A8F11" w:rsidR="000001D2" w:rsidRPr="00CC3FFF" w:rsidRDefault="000001D2" w:rsidP="00B13DC1">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lastRenderedPageBreak/>
              <w:t xml:space="preserve">D. D’Arrigo, P. Conte, G. Anzillotti, B. Canciani, V. R. </w:t>
            </w:r>
            <w:r w:rsidRPr="00CC3FFF">
              <w:rPr>
                <w:rFonts w:ascii="Times New Roman" w:eastAsia="Times New Roman" w:hAnsi="Times New Roman" w:cs="Times New Roman"/>
                <w:bCs/>
                <w:iCs/>
                <w:sz w:val="16"/>
                <w:szCs w:val="16"/>
                <w:lang w:val="it-IT"/>
              </w:rPr>
              <w:lastRenderedPageBreak/>
              <w:t>Herrera Millar, A. Di Giancamillo, L. De Girolamo, G. Peretti, A. M. Crovace, E. Kon</w:t>
            </w:r>
          </w:p>
        </w:tc>
      </w:tr>
      <w:tr w:rsidR="000001D2" w:rsidRPr="00CC3FFF" w14:paraId="34331ADC" w14:textId="77777777" w:rsidTr="000001D2">
        <w:tc>
          <w:tcPr>
            <w:tcW w:w="461" w:type="dxa"/>
            <w:tcBorders>
              <w:top w:val="dotted" w:sz="4" w:space="0" w:color="auto"/>
              <w:bottom w:val="dotted" w:sz="4" w:space="0" w:color="auto"/>
            </w:tcBorders>
          </w:tcPr>
          <w:p w14:paraId="36DE8795" w14:textId="75F9FC40"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lastRenderedPageBreak/>
              <w:t>18</w:t>
            </w:r>
          </w:p>
        </w:tc>
        <w:tc>
          <w:tcPr>
            <w:tcW w:w="3765" w:type="dxa"/>
            <w:tcBorders>
              <w:top w:val="dotted" w:sz="4" w:space="0" w:color="auto"/>
              <w:bottom w:val="dotted" w:sz="4" w:space="0" w:color="auto"/>
            </w:tcBorders>
          </w:tcPr>
          <w:p w14:paraId="120433F3" w14:textId="50BAA190"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Injectable and bioprintable RGD-functionalized hydrogels support chondrogenic differentiation of adipose mesenchymal stromal cells</w:t>
            </w:r>
          </w:p>
        </w:tc>
        <w:tc>
          <w:tcPr>
            <w:tcW w:w="4054" w:type="dxa"/>
            <w:tcBorders>
              <w:top w:val="dotted" w:sz="4" w:space="0" w:color="auto"/>
              <w:bottom w:val="dotted" w:sz="4" w:space="0" w:color="auto"/>
            </w:tcBorders>
          </w:tcPr>
          <w:p w14:paraId="4649BC6E" w14:textId="5BF1D272" w:rsidR="000001D2" w:rsidRPr="00CC3FFF" w:rsidRDefault="000001D2" w:rsidP="000E3DA3">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G. D’Atri, C. Manferdini, D. Trucco, M. Columbaro, G. Codispoti, E. Gabusi, E. Lenzi, G. Graziani, L. Ricotti, G. Lisignoli</w:t>
            </w:r>
          </w:p>
        </w:tc>
      </w:tr>
      <w:tr w:rsidR="000001D2" w:rsidRPr="00CC3FFF" w14:paraId="48ABB3F0" w14:textId="77777777" w:rsidTr="000001D2">
        <w:tc>
          <w:tcPr>
            <w:tcW w:w="461" w:type="dxa"/>
            <w:tcBorders>
              <w:top w:val="dotted" w:sz="4" w:space="0" w:color="auto"/>
              <w:bottom w:val="dotted" w:sz="4" w:space="0" w:color="auto"/>
            </w:tcBorders>
          </w:tcPr>
          <w:p w14:paraId="279A3B72" w14:textId="795C1C0F"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19</w:t>
            </w:r>
          </w:p>
        </w:tc>
        <w:tc>
          <w:tcPr>
            <w:tcW w:w="3765" w:type="dxa"/>
            <w:tcBorders>
              <w:top w:val="dotted" w:sz="4" w:space="0" w:color="auto"/>
              <w:bottom w:val="dotted" w:sz="4" w:space="0" w:color="auto"/>
            </w:tcBorders>
          </w:tcPr>
          <w:p w14:paraId="62E74FDD" w14:textId="330BD740"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Mesenchymal stem cell fate across monoclonal gammopathies: from single-cell profiling to 3D niche modeling</w:t>
            </w:r>
          </w:p>
        </w:tc>
        <w:tc>
          <w:tcPr>
            <w:tcW w:w="4054" w:type="dxa"/>
            <w:tcBorders>
              <w:top w:val="dotted" w:sz="4" w:space="0" w:color="auto"/>
              <w:bottom w:val="dotted" w:sz="4" w:space="0" w:color="auto"/>
            </w:tcBorders>
          </w:tcPr>
          <w:p w14:paraId="5EEFCE1D" w14:textId="2C866F58" w:rsidR="000001D2" w:rsidRPr="00CC3FFF" w:rsidRDefault="000001D2" w:rsidP="00C47D81">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M. Dessena, F. Mohammadi, C. Manferdini, Camilla Sitzia, T. Torelli, A. Guidi, G. D’Atri, R. Vescovini, M. Scita, D. Toscani, A. Poletti, N. T. Iannozzi, V. Raimondi, O. Lungu, S. Ricci, G. Todaro, G. Sammarelli, A. B. Dalla Palma, L. Agnelli, G. Lisignoli, N. Giuliani, P. Storti</w:t>
            </w:r>
          </w:p>
        </w:tc>
      </w:tr>
      <w:tr w:rsidR="000001D2" w:rsidRPr="00CC3FFF" w14:paraId="138D5DE8" w14:textId="77777777" w:rsidTr="000001D2">
        <w:tc>
          <w:tcPr>
            <w:tcW w:w="461" w:type="dxa"/>
            <w:tcBorders>
              <w:top w:val="dotted" w:sz="4" w:space="0" w:color="auto"/>
              <w:bottom w:val="dotted" w:sz="4" w:space="0" w:color="auto"/>
            </w:tcBorders>
          </w:tcPr>
          <w:p w14:paraId="7E22E1EA" w14:textId="47D2EC3C"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20</w:t>
            </w:r>
          </w:p>
        </w:tc>
        <w:tc>
          <w:tcPr>
            <w:tcW w:w="3765" w:type="dxa"/>
            <w:tcBorders>
              <w:top w:val="dotted" w:sz="4" w:space="0" w:color="auto"/>
              <w:bottom w:val="dotted" w:sz="4" w:space="0" w:color="auto"/>
            </w:tcBorders>
          </w:tcPr>
          <w:p w14:paraId="1B41C525" w14:textId="66F30AB2"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rPr>
              <w:t>Human umbilical vein endothelial cells-derived conditioned medium for the endothelial differentiation of induced pluripotent stem cells: a cost-effective human-based protocol</w:t>
            </w:r>
          </w:p>
        </w:tc>
        <w:tc>
          <w:tcPr>
            <w:tcW w:w="4054" w:type="dxa"/>
            <w:tcBorders>
              <w:top w:val="dotted" w:sz="4" w:space="0" w:color="auto"/>
              <w:bottom w:val="dotted" w:sz="4" w:space="0" w:color="auto"/>
            </w:tcBorders>
          </w:tcPr>
          <w:p w14:paraId="4534EF16" w14:textId="0C43D5FB" w:rsidR="000001D2" w:rsidRPr="00CC3FFF" w:rsidRDefault="000001D2" w:rsidP="005063D1">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L. di Caporiacco, F. Merighi, C. Quadalti, L. Calzà</w:t>
            </w:r>
          </w:p>
        </w:tc>
      </w:tr>
      <w:tr w:rsidR="000001D2" w:rsidRPr="00CC3FFF" w14:paraId="6567C0B1" w14:textId="77777777" w:rsidTr="000001D2">
        <w:tc>
          <w:tcPr>
            <w:tcW w:w="461" w:type="dxa"/>
            <w:tcBorders>
              <w:top w:val="dotted" w:sz="4" w:space="0" w:color="auto"/>
              <w:bottom w:val="dotted" w:sz="4" w:space="0" w:color="auto"/>
            </w:tcBorders>
          </w:tcPr>
          <w:p w14:paraId="3158378B" w14:textId="3C20E330"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21</w:t>
            </w:r>
          </w:p>
        </w:tc>
        <w:tc>
          <w:tcPr>
            <w:tcW w:w="3765" w:type="dxa"/>
            <w:tcBorders>
              <w:top w:val="dotted" w:sz="4" w:space="0" w:color="auto"/>
              <w:bottom w:val="dotted" w:sz="4" w:space="0" w:color="auto"/>
            </w:tcBorders>
          </w:tcPr>
          <w:p w14:paraId="2057940F" w14:textId="2FDD00AD"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lang w:val="en-GB"/>
              </w:rPr>
              <w:t>Advanced Therapy Medicinal Products: towards cost-effective manufacturing and sustainability</w:t>
            </w:r>
          </w:p>
        </w:tc>
        <w:tc>
          <w:tcPr>
            <w:tcW w:w="4054" w:type="dxa"/>
            <w:tcBorders>
              <w:top w:val="dotted" w:sz="4" w:space="0" w:color="auto"/>
              <w:bottom w:val="dotted" w:sz="4" w:space="0" w:color="auto"/>
            </w:tcBorders>
          </w:tcPr>
          <w:p w14:paraId="5AD7BEA4" w14:textId="6C3004EB" w:rsidR="000001D2" w:rsidRPr="00CC3FFF" w:rsidRDefault="000001D2" w:rsidP="00D42B12">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I. Ferrero, C. Zanini, A. Adamini, F. Sismondi, S. Castiglia, D. Rustichelli, A. Mandese, C. Sinicropi, P. Bosi, F. Fagioli</w:t>
            </w:r>
          </w:p>
        </w:tc>
      </w:tr>
      <w:tr w:rsidR="000001D2" w:rsidRPr="00CC3FFF" w14:paraId="7DE3E4EC" w14:textId="77777777" w:rsidTr="000001D2">
        <w:tc>
          <w:tcPr>
            <w:tcW w:w="461" w:type="dxa"/>
            <w:tcBorders>
              <w:top w:val="dotted" w:sz="4" w:space="0" w:color="auto"/>
              <w:bottom w:val="dotted" w:sz="4" w:space="0" w:color="auto"/>
            </w:tcBorders>
          </w:tcPr>
          <w:p w14:paraId="58583B1D" w14:textId="5DFD268E"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rPr>
              <w:t>22</w:t>
            </w:r>
          </w:p>
        </w:tc>
        <w:tc>
          <w:tcPr>
            <w:tcW w:w="3765" w:type="dxa"/>
            <w:tcBorders>
              <w:top w:val="dotted" w:sz="4" w:space="0" w:color="auto"/>
              <w:bottom w:val="dotted" w:sz="4" w:space="0" w:color="auto"/>
            </w:tcBorders>
          </w:tcPr>
          <w:p w14:paraId="4BE0A831" w14:textId="7D11AD0A"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rPr>
              <w:t>Ex vivo study of neural stem cells from the subventricular zone in neonatal encephalopathy</w:t>
            </w:r>
          </w:p>
        </w:tc>
        <w:tc>
          <w:tcPr>
            <w:tcW w:w="4054" w:type="dxa"/>
            <w:tcBorders>
              <w:top w:val="dotted" w:sz="4" w:space="0" w:color="auto"/>
              <w:bottom w:val="dotted" w:sz="4" w:space="0" w:color="auto"/>
            </w:tcBorders>
          </w:tcPr>
          <w:p w14:paraId="04A145C8" w14:textId="1EA60293" w:rsidR="000001D2" w:rsidRPr="00CC3FFF" w:rsidRDefault="000001D2" w:rsidP="00586563">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M. Galeotti, A. Capone, L. Lorenzini, V. A. Baldassarro, L. Giardino, L. Calzà</w:t>
            </w:r>
          </w:p>
        </w:tc>
      </w:tr>
      <w:tr w:rsidR="000001D2" w:rsidRPr="00CC3FFF" w14:paraId="187791CF" w14:textId="77777777" w:rsidTr="000001D2">
        <w:tc>
          <w:tcPr>
            <w:tcW w:w="461" w:type="dxa"/>
            <w:tcBorders>
              <w:top w:val="dotted" w:sz="4" w:space="0" w:color="auto"/>
              <w:bottom w:val="dotted" w:sz="4" w:space="0" w:color="auto"/>
            </w:tcBorders>
          </w:tcPr>
          <w:p w14:paraId="2AD23CA7" w14:textId="4371F09F"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23</w:t>
            </w:r>
          </w:p>
        </w:tc>
        <w:tc>
          <w:tcPr>
            <w:tcW w:w="3765" w:type="dxa"/>
            <w:tcBorders>
              <w:top w:val="dotted" w:sz="4" w:space="0" w:color="auto"/>
              <w:bottom w:val="dotted" w:sz="4" w:space="0" w:color="auto"/>
            </w:tcBorders>
          </w:tcPr>
          <w:p w14:paraId="5E6DA384" w14:textId="6C8C471E"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rPr>
              <w:t>Comparative bioinformatic analysis of ASC and BMSC secretomes reveals shared functional programs and condition-specific enrichment patterns</w:t>
            </w:r>
          </w:p>
        </w:tc>
        <w:tc>
          <w:tcPr>
            <w:tcW w:w="4054" w:type="dxa"/>
            <w:tcBorders>
              <w:top w:val="dotted" w:sz="4" w:space="0" w:color="auto"/>
              <w:bottom w:val="dotted" w:sz="4" w:space="0" w:color="auto"/>
            </w:tcBorders>
          </w:tcPr>
          <w:p w14:paraId="2F26D86B" w14:textId="597AA7D5" w:rsidR="000001D2" w:rsidRPr="00CC3FFF" w:rsidRDefault="000001D2" w:rsidP="004D1535">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G. Grieco, M. Lo Pinto, M. M. Taiana, P. de Luca, R. Lauro, A. Nebuloni, S. D. Scilabra, L. de Girolamo, E. Ragni</w:t>
            </w:r>
          </w:p>
        </w:tc>
      </w:tr>
      <w:tr w:rsidR="000001D2" w:rsidRPr="00CC3FFF" w14:paraId="1A32E7CC" w14:textId="77777777" w:rsidTr="000001D2">
        <w:tc>
          <w:tcPr>
            <w:tcW w:w="461" w:type="dxa"/>
            <w:tcBorders>
              <w:top w:val="dotted" w:sz="4" w:space="0" w:color="auto"/>
              <w:bottom w:val="dotted" w:sz="4" w:space="0" w:color="auto"/>
            </w:tcBorders>
          </w:tcPr>
          <w:p w14:paraId="3E217E8E" w14:textId="74943E61"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24</w:t>
            </w:r>
          </w:p>
        </w:tc>
        <w:tc>
          <w:tcPr>
            <w:tcW w:w="3765" w:type="dxa"/>
            <w:tcBorders>
              <w:top w:val="dotted" w:sz="4" w:space="0" w:color="auto"/>
              <w:bottom w:val="dotted" w:sz="4" w:space="0" w:color="auto"/>
            </w:tcBorders>
          </w:tcPr>
          <w:p w14:paraId="2600D2F4" w14:textId="0C4E57B6"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rPr>
              <w:t>Secretome and extracellular vesicle signatures in bone marrow-derived mesenchymal stromal cells after expansion in standard and next-generation media</w:t>
            </w:r>
          </w:p>
        </w:tc>
        <w:tc>
          <w:tcPr>
            <w:tcW w:w="4054" w:type="dxa"/>
            <w:tcBorders>
              <w:top w:val="dotted" w:sz="4" w:space="0" w:color="auto"/>
              <w:bottom w:val="dotted" w:sz="4" w:space="0" w:color="auto"/>
            </w:tcBorders>
          </w:tcPr>
          <w:p w14:paraId="08A99DA1" w14:textId="6741A9E4" w:rsidR="000001D2" w:rsidRPr="00CC3FFF" w:rsidRDefault="000001D2" w:rsidP="00D169D5">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G. Grieco, S. Piccolo, E. Ragni, L. de Girolamo</w:t>
            </w:r>
          </w:p>
        </w:tc>
      </w:tr>
      <w:tr w:rsidR="000001D2" w:rsidRPr="00CC3FFF" w14:paraId="7160EAF2" w14:textId="77777777" w:rsidTr="000001D2">
        <w:tc>
          <w:tcPr>
            <w:tcW w:w="461" w:type="dxa"/>
            <w:tcBorders>
              <w:top w:val="dotted" w:sz="4" w:space="0" w:color="auto"/>
              <w:bottom w:val="dotted" w:sz="4" w:space="0" w:color="auto"/>
            </w:tcBorders>
          </w:tcPr>
          <w:p w14:paraId="2DF34C29" w14:textId="12588227"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25</w:t>
            </w:r>
          </w:p>
        </w:tc>
        <w:tc>
          <w:tcPr>
            <w:tcW w:w="3765" w:type="dxa"/>
            <w:tcBorders>
              <w:top w:val="dotted" w:sz="4" w:space="0" w:color="auto"/>
              <w:bottom w:val="dotted" w:sz="4" w:space="0" w:color="auto"/>
            </w:tcBorders>
          </w:tcPr>
          <w:p w14:paraId="69BD8C92" w14:textId="279A5144"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Selection of mesenchymal stem/stromal cell-derived secretome for osteoarticular diseases through tissue source and priming strategies</w:t>
            </w:r>
          </w:p>
        </w:tc>
        <w:tc>
          <w:tcPr>
            <w:tcW w:w="4054" w:type="dxa"/>
            <w:tcBorders>
              <w:top w:val="dotted" w:sz="4" w:space="0" w:color="auto"/>
              <w:bottom w:val="dotted" w:sz="4" w:space="0" w:color="auto"/>
            </w:tcBorders>
          </w:tcPr>
          <w:p w14:paraId="27C6A86A" w14:textId="12B930BF"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E. Ligotti Mattia, E. Scalia, S. D. Scilabra, M. Lo Pinto, A. Gallo, R. Vazzana, N. Cuscino, O. Lo Re, C. Pipia, G. Amico, S. Lopa, A. Colombini, V. Ippolito, A. Maurizi, N. Rucci, V. Agnese, P. G. Conaldi, M. Moretti, V. Miceli, M. Bulati</w:t>
            </w:r>
          </w:p>
        </w:tc>
      </w:tr>
      <w:tr w:rsidR="000001D2" w:rsidRPr="00CC3FFF" w14:paraId="023C6D05" w14:textId="77777777" w:rsidTr="000001D2">
        <w:tc>
          <w:tcPr>
            <w:tcW w:w="461" w:type="dxa"/>
            <w:tcBorders>
              <w:top w:val="dotted" w:sz="4" w:space="0" w:color="auto"/>
              <w:bottom w:val="dotted" w:sz="4" w:space="0" w:color="auto"/>
            </w:tcBorders>
          </w:tcPr>
          <w:p w14:paraId="2E224572" w14:textId="56BE0DDC"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26</w:t>
            </w:r>
          </w:p>
        </w:tc>
        <w:tc>
          <w:tcPr>
            <w:tcW w:w="3765" w:type="dxa"/>
            <w:tcBorders>
              <w:top w:val="dotted" w:sz="4" w:space="0" w:color="auto"/>
              <w:bottom w:val="dotted" w:sz="4" w:space="0" w:color="auto"/>
            </w:tcBorders>
          </w:tcPr>
          <w:p w14:paraId="73CEDFE2" w14:textId="1BE5C347"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rPr>
              <w:t>New perspectives for the exploitation of female reproductive potential in mammals: generation of granulosa-like cells from human adipose mesenchymal stem cells</w:t>
            </w:r>
          </w:p>
        </w:tc>
        <w:tc>
          <w:tcPr>
            <w:tcW w:w="4054" w:type="dxa"/>
            <w:tcBorders>
              <w:top w:val="dotted" w:sz="4" w:space="0" w:color="auto"/>
              <w:bottom w:val="dotted" w:sz="4" w:space="0" w:color="auto"/>
            </w:tcBorders>
          </w:tcPr>
          <w:p w14:paraId="03C1E5FB" w14:textId="0C16022F" w:rsidR="000001D2" w:rsidRPr="00CC3FFF" w:rsidRDefault="000001D2" w:rsidP="00C355F4">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Y. Lacapra, D. Farini, G. Salvatore, M. A. Ucci, F. G. Klinger, M. De Felici, A. Camaioni</w:t>
            </w:r>
          </w:p>
          <w:p w14:paraId="626FC727" w14:textId="530F0F11"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06222820" w14:textId="77777777" w:rsidTr="000001D2">
        <w:tc>
          <w:tcPr>
            <w:tcW w:w="461" w:type="dxa"/>
            <w:tcBorders>
              <w:top w:val="dotted" w:sz="4" w:space="0" w:color="auto"/>
              <w:bottom w:val="dotted" w:sz="4" w:space="0" w:color="auto"/>
            </w:tcBorders>
          </w:tcPr>
          <w:p w14:paraId="632F0F4A" w14:textId="2AB8C57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27</w:t>
            </w:r>
          </w:p>
        </w:tc>
        <w:tc>
          <w:tcPr>
            <w:tcW w:w="3765" w:type="dxa"/>
            <w:tcBorders>
              <w:top w:val="dotted" w:sz="4" w:space="0" w:color="auto"/>
              <w:bottom w:val="dotted" w:sz="4" w:space="0" w:color="auto"/>
            </w:tcBorders>
          </w:tcPr>
          <w:p w14:paraId="1F6A65C0" w14:textId="40C2823C"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Enhanced osteoinductive and osteoconductive potential of human adipose-derived mesenchymal stromal cells on trabecular titanium compared to chromium cobalt scaffolds</w:t>
            </w:r>
          </w:p>
        </w:tc>
        <w:tc>
          <w:tcPr>
            <w:tcW w:w="4054" w:type="dxa"/>
            <w:tcBorders>
              <w:top w:val="dotted" w:sz="4" w:space="0" w:color="auto"/>
              <w:bottom w:val="dotted" w:sz="4" w:space="0" w:color="auto"/>
            </w:tcBorders>
          </w:tcPr>
          <w:p w14:paraId="29508CDD" w14:textId="1B761EC1" w:rsidR="000001D2" w:rsidRPr="00CC3FFF" w:rsidRDefault="000001D2" w:rsidP="00C93806">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R. Lauro, A</w:t>
            </w:r>
            <w:r w:rsidR="00265FCD">
              <w:rPr>
                <w:rFonts w:ascii="Times New Roman" w:eastAsia="Times New Roman" w:hAnsi="Times New Roman" w:cs="Times New Roman"/>
                <w:bCs/>
                <w:iCs/>
                <w:sz w:val="16"/>
                <w:szCs w:val="16"/>
                <w:lang w:val="it-IT"/>
              </w:rPr>
              <w:t>.</w:t>
            </w:r>
            <w:r w:rsidRPr="00CC3FFF">
              <w:rPr>
                <w:rFonts w:ascii="Times New Roman" w:eastAsia="Times New Roman" w:hAnsi="Times New Roman" w:cs="Times New Roman"/>
                <w:bCs/>
                <w:iCs/>
                <w:sz w:val="16"/>
                <w:szCs w:val="16"/>
                <w:lang w:val="it-IT"/>
              </w:rPr>
              <w:t xml:space="preserve"> Nebuloni, M. M. Taiana, P. Costa, G. Sorano, L. de Girolamo, E. Ragni</w:t>
            </w:r>
          </w:p>
          <w:p w14:paraId="4FCE3564" w14:textId="233E5506"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1C012FB5" w14:textId="77777777" w:rsidTr="000001D2">
        <w:tc>
          <w:tcPr>
            <w:tcW w:w="461" w:type="dxa"/>
            <w:tcBorders>
              <w:top w:val="dotted" w:sz="4" w:space="0" w:color="auto"/>
              <w:bottom w:val="dotted" w:sz="4" w:space="0" w:color="auto"/>
            </w:tcBorders>
          </w:tcPr>
          <w:p w14:paraId="676A0CF1" w14:textId="240EAF55"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28</w:t>
            </w:r>
          </w:p>
        </w:tc>
        <w:tc>
          <w:tcPr>
            <w:tcW w:w="3765" w:type="dxa"/>
            <w:tcBorders>
              <w:top w:val="dotted" w:sz="4" w:space="0" w:color="auto"/>
              <w:bottom w:val="dotted" w:sz="4" w:space="0" w:color="auto"/>
            </w:tcBorders>
          </w:tcPr>
          <w:p w14:paraId="6A7F7807" w14:textId="438F72E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Effects of low-intensity pulsed ultrasound frequencies on chondrogenic differentiation of adipose-derived stromal cells embedded in hydrogels</w:t>
            </w:r>
          </w:p>
        </w:tc>
        <w:tc>
          <w:tcPr>
            <w:tcW w:w="4054" w:type="dxa"/>
            <w:tcBorders>
              <w:top w:val="dotted" w:sz="4" w:space="0" w:color="auto"/>
              <w:bottom w:val="dotted" w:sz="4" w:space="0" w:color="auto"/>
            </w:tcBorders>
          </w:tcPr>
          <w:p w14:paraId="47DA40A5" w14:textId="323A1B06" w:rsidR="000001D2" w:rsidRPr="00CC3FFF" w:rsidRDefault="000001D2" w:rsidP="002939F4">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noProof/>
                <w:sz w:val="16"/>
                <w:szCs w:val="16"/>
                <w:lang w:val="it-IT" w:eastAsia="it-IT"/>
              </w:rPr>
              <mc:AlternateContent>
                <mc:Choice Requires="wps">
                  <w:drawing>
                    <wp:anchor distT="0" distB="0" distL="0" distR="0" simplePos="0" relativeHeight="251663360" behindDoc="1" locked="0" layoutInCell="1" allowOverlap="1" wp14:anchorId="1AEED37C" wp14:editId="5733F1D8">
                      <wp:simplePos x="0" y="0"/>
                      <wp:positionH relativeFrom="page">
                        <wp:posOffset>4722084</wp:posOffset>
                      </wp:positionH>
                      <wp:positionV relativeFrom="paragraph">
                        <wp:posOffset>253243</wp:posOffset>
                      </wp:positionV>
                      <wp:extent cx="20320" cy="90805"/>
                      <wp:effectExtent l="0" t="0" r="0" b="0"/>
                      <wp:wrapNone/>
                      <wp:docPr id="2" name="Text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 cy="90805"/>
                              </a:xfrm>
                              <a:prstGeom prst="rect">
                                <a:avLst/>
                              </a:prstGeom>
                            </wps:spPr>
                            <wps:txbx>
                              <w:txbxContent>
                                <w:p w14:paraId="3D5EE9EE" w14:textId="77777777" w:rsidR="000001D2" w:rsidRDefault="000001D2" w:rsidP="002939F4">
                                  <w:pPr>
                                    <w:spacing w:line="138" w:lineRule="exact"/>
                                    <w:rPr>
                                      <w:sz w:val="14"/>
                                    </w:rPr>
                                  </w:pPr>
                                  <w:r>
                                    <w:rPr>
                                      <w:color w:val="231F20"/>
                                      <w:spacing w:val="-10"/>
                                      <w:w w:val="90"/>
                                      <w:sz w:val="14"/>
                                    </w:rPr>
                                    <w:t>,</w:t>
                                  </w:r>
                                </w:p>
                              </w:txbxContent>
                            </wps:txbx>
                            <wps:bodyPr wrap="square" lIns="0" tIns="0" rIns="0" bIns="0" rtlCol="0">
                              <a:noAutofit/>
                            </wps:bodyPr>
                          </wps:wsp>
                        </a:graphicData>
                      </a:graphic>
                    </wp:anchor>
                  </w:drawing>
                </mc:Choice>
                <mc:Fallback>
                  <w:pict>
                    <v:shapetype w14:anchorId="1AEED37C" id="_x0000_t202" coordsize="21600,21600" o:spt="202" path="m,l,21600r21600,l21600,xe">
                      <v:stroke joinstyle="miter"/>
                      <v:path gradientshapeok="t" o:connecttype="rect"/>
                    </v:shapetype>
                    <v:shape id="Textbox 274" o:spid="_x0000_s1026" type="#_x0000_t202" style="position:absolute;left:0;text-align:left;margin-left:371.8pt;margin-top:19.95pt;width:1.6pt;height:7.1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" filled="f" stroked="f">
                      <v:textbox inset="0,0,0,0">
                        <w:txbxContent>
                          <w:p w14:paraId="3D5EE9EE" w14:textId="77777777" w:rsidR="000001D2" w:rsidRDefault="000001D2" w:rsidP="002939F4">
                            <w:pPr>
                              <w:spacing w:line="138" w:lineRule="exact"/>
                              <w:rPr>
                                <w:sz w:val="14"/>
                              </w:rPr>
                            </w:pPr>
                            <w:r>
                              <w:rPr>
                                <w:color w:val="231F20"/>
                                <w:spacing w:val="-10"/>
                                <w:w w:val="90"/>
                                <w:sz w:val="14"/>
                              </w:rPr>
                              <w:t>,</w:t>
                            </w:r>
                          </w:p>
                        </w:txbxContent>
                      </v:textbox>
                      <w10:wrap anchorx="page"/>
                    </v:shape>
                  </w:pict>
                </mc:Fallback>
              </mc:AlternateContent>
            </w:r>
            <w:r w:rsidRPr="00CC3FFF">
              <w:rPr>
                <w:rFonts w:ascii="Times New Roman" w:eastAsia="Times New Roman" w:hAnsi="Times New Roman" w:cs="Times New Roman"/>
                <w:bCs/>
                <w:iCs/>
                <w:sz w:val="16"/>
                <w:szCs w:val="16"/>
                <w:lang w:val="it-IT"/>
              </w:rPr>
              <w:t>E. Lenzi, G. D’Atri, C. Manferdini, E. Gabusi, A. Bacci, D. Trucco, L. Vannozzi, M. Piazzi, M. Columbaro, L. Ricotti, G. Lisignoli</w:t>
            </w:r>
          </w:p>
          <w:p w14:paraId="372C95C3" w14:textId="7C2BF4E5"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67F7F357" w14:textId="77777777" w:rsidTr="000001D2">
        <w:tc>
          <w:tcPr>
            <w:tcW w:w="461" w:type="dxa"/>
            <w:tcBorders>
              <w:top w:val="dotted" w:sz="4" w:space="0" w:color="auto"/>
              <w:bottom w:val="dotted" w:sz="4" w:space="0" w:color="auto"/>
            </w:tcBorders>
          </w:tcPr>
          <w:p w14:paraId="749002C6" w14:textId="4EF8A4C4"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29</w:t>
            </w:r>
          </w:p>
        </w:tc>
        <w:tc>
          <w:tcPr>
            <w:tcW w:w="3765" w:type="dxa"/>
            <w:tcBorders>
              <w:top w:val="dotted" w:sz="4" w:space="0" w:color="auto"/>
              <w:bottom w:val="dotted" w:sz="4" w:space="0" w:color="auto"/>
            </w:tcBorders>
          </w:tcPr>
          <w:p w14:paraId="53C765D5" w14:textId="25E0427F"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Growing bones in a dish: a new human in vitro model of endochondral ossification for the study of bone metastasis</w:t>
            </w:r>
          </w:p>
        </w:tc>
        <w:tc>
          <w:tcPr>
            <w:tcW w:w="4054" w:type="dxa"/>
            <w:tcBorders>
              <w:top w:val="dotted" w:sz="4" w:space="0" w:color="auto"/>
              <w:bottom w:val="dotted" w:sz="4" w:space="0" w:color="auto"/>
            </w:tcBorders>
          </w:tcPr>
          <w:p w14:paraId="7CE54EB6" w14:textId="389392D7" w:rsidR="000001D2" w:rsidRPr="00CC3FFF" w:rsidRDefault="000001D2" w:rsidP="00F567AC">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A. G. Urdalleta, E. Ji, J. Witte-Bouma, E. Palamà, V. Trikalitis, G. Kremers</w:t>
            </w:r>
            <w:r w:rsidR="00265FCD">
              <w:rPr>
                <w:rFonts w:ascii="Times New Roman" w:eastAsia="Times New Roman" w:hAnsi="Times New Roman" w:cs="Times New Roman"/>
                <w:bCs/>
                <w:iCs/>
                <w:sz w:val="16"/>
                <w:szCs w:val="16"/>
                <w:lang w:val="it-IT"/>
              </w:rPr>
              <w:t>,</w:t>
            </w:r>
            <w:r w:rsidRPr="00CC3FFF">
              <w:rPr>
                <w:rFonts w:ascii="Times New Roman" w:eastAsia="Times New Roman" w:hAnsi="Times New Roman" w:cs="Times New Roman"/>
                <w:bCs/>
                <w:iCs/>
                <w:sz w:val="16"/>
                <w:szCs w:val="16"/>
                <w:lang w:val="it-IT"/>
              </w:rPr>
              <w:t xml:space="preserve"> M. Aiello, J. Rouwkema, S. Scagl</w:t>
            </w:r>
            <w:r w:rsidRPr="00AD058E">
              <w:rPr>
                <w:rFonts w:ascii="Times New Roman" w:eastAsia="Times New Roman" w:hAnsi="Times New Roman" w:cs="Times New Roman"/>
                <w:bCs/>
                <w:iCs/>
                <w:sz w:val="16"/>
                <w:szCs w:val="16"/>
                <w:lang w:val="it-IT"/>
              </w:rPr>
              <w:t>ione, N. Di Maggi</w:t>
            </w:r>
            <w:r w:rsidR="00AD058E" w:rsidRPr="00AD058E">
              <w:rPr>
                <w:rFonts w:ascii="Times New Roman" w:eastAsia="Times New Roman" w:hAnsi="Times New Roman" w:cs="Times New Roman"/>
                <w:bCs/>
                <w:iCs/>
                <w:sz w:val="16"/>
                <w:szCs w:val="16"/>
                <w:lang w:val="it-IT"/>
              </w:rPr>
              <w:t>o</w:t>
            </w:r>
            <w:r w:rsidRPr="00AD058E">
              <w:rPr>
                <w:rFonts w:ascii="Times New Roman" w:eastAsia="Times New Roman" w:hAnsi="Times New Roman" w:cs="Times New Roman"/>
                <w:bCs/>
                <w:iCs/>
                <w:sz w:val="16"/>
                <w:szCs w:val="16"/>
                <w:lang w:val="it-IT"/>
              </w:rPr>
              <w:t>, A. Banf</w:t>
            </w:r>
            <w:r w:rsidRPr="00CC3FFF">
              <w:rPr>
                <w:rFonts w:ascii="Times New Roman" w:eastAsia="Times New Roman" w:hAnsi="Times New Roman" w:cs="Times New Roman"/>
                <w:bCs/>
                <w:iCs/>
                <w:sz w:val="16"/>
                <w:szCs w:val="16"/>
                <w:lang w:val="it-IT"/>
              </w:rPr>
              <w:t>i, E. Farrell, A. Lolli</w:t>
            </w:r>
          </w:p>
          <w:p w14:paraId="239A789E" w14:textId="75AEC711"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bookmarkStart w:id="0" w:name="_GoBack"/>
            <w:bookmarkEnd w:id="0"/>
          </w:p>
        </w:tc>
      </w:tr>
      <w:tr w:rsidR="000001D2" w:rsidRPr="00CC3FFF" w14:paraId="6CAD9CE8" w14:textId="77777777" w:rsidTr="000001D2">
        <w:tc>
          <w:tcPr>
            <w:tcW w:w="461" w:type="dxa"/>
            <w:tcBorders>
              <w:top w:val="dotted" w:sz="4" w:space="0" w:color="auto"/>
              <w:bottom w:val="dotted" w:sz="4" w:space="0" w:color="auto"/>
            </w:tcBorders>
          </w:tcPr>
          <w:p w14:paraId="2E3F5142" w14:textId="15C58393"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30</w:t>
            </w:r>
          </w:p>
        </w:tc>
        <w:tc>
          <w:tcPr>
            <w:tcW w:w="3765" w:type="dxa"/>
            <w:tcBorders>
              <w:top w:val="dotted" w:sz="4" w:space="0" w:color="auto"/>
              <w:bottom w:val="dotted" w:sz="4" w:space="0" w:color="auto"/>
            </w:tcBorders>
          </w:tcPr>
          <w:p w14:paraId="4E1D2618" w14:textId="2EE476C8"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Influence of mesenchymal stem cell-derived extracellular vesicles on the injured skeletal muscle microenvironment</w:t>
            </w:r>
          </w:p>
        </w:tc>
        <w:tc>
          <w:tcPr>
            <w:tcW w:w="4054" w:type="dxa"/>
            <w:tcBorders>
              <w:top w:val="dotted" w:sz="4" w:space="0" w:color="auto"/>
              <w:bottom w:val="dotted" w:sz="4" w:space="0" w:color="auto"/>
            </w:tcBorders>
          </w:tcPr>
          <w:p w14:paraId="7A77F23A" w14:textId="2D6AE454" w:rsidR="000001D2" w:rsidRPr="00CC3FFF" w:rsidRDefault="000001D2" w:rsidP="00BD077D">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A. Longhin, V. Gatta, G. Teti, C. Sassoli, F. Chellini, A. Tani, M. Parigi, R. Garella, F. Palmieri, R. Squecco, M. Mattioli Belmonte, C. Licini, A. La Contana, A. Ruggeri, S. Zecchi Orlandini, M. Falconi</w:t>
            </w:r>
          </w:p>
          <w:p w14:paraId="4F4B4DBF" w14:textId="490907AA"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5D553C6B" w14:textId="77777777" w:rsidTr="000001D2">
        <w:tc>
          <w:tcPr>
            <w:tcW w:w="461" w:type="dxa"/>
            <w:tcBorders>
              <w:top w:val="dotted" w:sz="4" w:space="0" w:color="auto"/>
              <w:bottom w:val="dotted" w:sz="4" w:space="0" w:color="auto"/>
            </w:tcBorders>
          </w:tcPr>
          <w:p w14:paraId="5B695A14" w14:textId="25322B74"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31</w:t>
            </w:r>
          </w:p>
        </w:tc>
        <w:tc>
          <w:tcPr>
            <w:tcW w:w="3765" w:type="dxa"/>
            <w:tcBorders>
              <w:top w:val="dotted" w:sz="4" w:space="0" w:color="auto"/>
              <w:bottom w:val="dotted" w:sz="4" w:space="0" w:color="auto"/>
            </w:tcBorders>
          </w:tcPr>
          <w:p w14:paraId="73B19D62" w14:textId="06B2599E"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 xml:space="preserve">Role of Glypican3 in tumor dissemination and proliferation: study of extracellular vesicles isolated from the mesenchymal rhabdomyosarcoma cells </w:t>
            </w:r>
            <w:r w:rsidRPr="00CC3FFF">
              <w:rPr>
                <w:rFonts w:ascii="Times New Roman" w:eastAsia="Times New Roman" w:hAnsi="Times New Roman" w:cs="Times New Roman"/>
                <w:sz w:val="16"/>
                <w:szCs w:val="16"/>
                <w:lang w:val="en-GB"/>
              </w:rPr>
              <w:lastRenderedPageBreak/>
              <w:t>expressing glypican3</w:t>
            </w:r>
          </w:p>
        </w:tc>
        <w:tc>
          <w:tcPr>
            <w:tcW w:w="4054" w:type="dxa"/>
            <w:tcBorders>
              <w:top w:val="dotted" w:sz="4" w:space="0" w:color="auto"/>
              <w:bottom w:val="dotted" w:sz="4" w:space="0" w:color="auto"/>
            </w:tcBorders>
          </w:tcPr>
          <w:p w14:paraId="7FEFBCEC" w14:textId="36274786" w:rsidR="000001D2" w:rsidRPr="00CC3FFF" w:rsidRDefault="000001D2" w:rsidP="00BD077D">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lastRenderedPageBreak/>
              <w:t>M. Bacchiega, S. Mallavarapu, P. Bisaccia, G. Pasut, M. Pozzobon</w:t>
            </w:r>
          </w:p>
        </w:tc>
      </w:tr>
      <w:tr w:rsidR="000001D2" w:rsidRPr="00CC3FFF" w14:paraId="168FD24B" w14:textId="77777777" w:rsidTr="000001D2">
        <w:tc>
          <w:tcPr>
            <w:tcW w:w="461" w:type="dxa"/>
            <w:tcBorders>
              <w:top w:val="dotted" w:sz="4" w:space="0" w:color="auto"/>
              <w:bottom w:val="dotted" w:sz="4" w:space="0" w:color="auto"/>
            </w:tcBorders>
          </w:tcPr>
          <w:p w14:paraId="29FBB66E" w14:textId="354645E7"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32</w:t>
            </w:r>
          </w:p>
        </w:tc>
        <w:tc>
          <w:tcPr>
            <w:tcW w:w="3765" w:type="dxa"/>
            <w:tcBorders>
              <w:top w:val="dotted" w:sz="4" w:space="0" w:color="auto"/>
              <w:bottom w:val="dotted" w:sz="4" w:space="0" w:color="auto"/>
            </w:tcBorders>
          </w:tcPr>
          <w:p w14:paraId="38926078" w14:textId="34A032A1"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Stem cell derived extracellular vesicles ameliorate the neuron mitochondrial damage induced by ROS- LPS- exposure: in vitro model of neuron, microglia, and astrocyte triple co-culture</w:t>
            </w:r>
          </w:p>
        </w:tc>
        <w:tc>
          <w:tcPr>
            <w:tcW w:w="4054" w:type="dxa"/>
            <w:tcBorders>
              <w:top w:val="dotted" w:sz="4" w:space="0" w:color="auto"/>
              <w:bottom w:val="dotted" w:sz="4" w:space="0" w:color="auto"/>
            </w:tcBorders>
          </w:tcPr>
          <w:p w14:paraId="661DC65B" w14:textId="1FFC79F1" w:rsidR="000001D2" w:rsidRPr="00CC3FFF" w:rsidRDefault="000001D2" w:rsidP="00547DCD">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M. Malenchini, F. Beretti, M. Gatti, E. Del Toro, T. Maraldi</w:t>
            </w:r>
          </w:p>
          <w:p w14:paraId="628BB282" w14:textId="00916D61"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1B7FF883" w14:textId="77777777" w:rsidTr="000001D2">
        <w:tc>
          <w:tcPr>
            <w:tcW w:w="461" w:type="dxa"/>
            <w:tcBorders>
              <w:top w:val="dotted" w:sz="4" w:space="0" w:color="auto"/>
              <w:bottom w:val="dotted" w:sz="4" w:space="0" w:color="auto"/>
            </w:tcBorders>
          </w:tcPr>
          <w:p w14:paraId="268346DD" w14:textId="3804E764"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33</w:t>
            </w:r>
          </w:p>
        </w:tc>
        <w:tc>
          <w:tcPr>
            <w:tcW w:w="3765" w:type="dxa"/>
            <w:tcBorders>
              <w:top w:val="dotted" w:sz="4" w:space="0" w:color="auto"/>
              <w:bottom w:val="dotted" w:sz="4" w:space="0" w:color="auto"/>
            </w:tcBorders>
          </w:tcPr>
          <w:p w14:paraId="154247EE" w14:textId="32827DD7"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Large-scale manufacturing of extracellular vesicles from adipose tissue derived-mesenchymal stromal cells using a bioreactor</w:t>
            </w:r>
          </w:p>
        </w:tc>
        <w:tc>
          <w:tcPr>
            <w:tcW w:w="4054" w:type="dxa"/>
            <w:tcBorders>
              <w:top w:val="dotted" w:sz="4" w:space="0" w:color="auto"/>
              <w:bottom w:val="dotted" w:sz="4" w:space="0" w:color="auto"/>
            </w:tcBorders>
          </w:tcPr>
          <w:p w14:paraId="70A45224" w14:textId="67B24B4A" w:rsidR="000001D2" w:rsidRPr="00CC3FFF" w:rsidRDefault="000001D2" w:rsidP="00F9184A">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A. Marcianti, E. Spampinato, S. Nava, S. Pogliani, S. Frigerio, M. Papa, F. Moda, F. A. Cazzaniga, C. Traversari, D. Lisini</w:t>
            </w:r>
          </w:p>
          <w:p w14:paraId="2ACE3F6B" w14:textId="593F68CC"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59DA3E19" w14:textId="77777777" w:rsidTr="000001D2">
        <w:tc>
          <w:tcPr>
            <w:tcW w:w="461" w:type="dxa"/>
            <w:tcBorders>
              <w:top w:val="dotted" w:sz="4" w:space="0" w:color="auto"/>
              <w:bottom w:val="dotted" w:sz="4" w:space="0" w:color="auto"/>
            </w:tcBorders>
          </w:tcPr>
          <w:p w14:paraId="176D851F" w14:textId="34F06C35"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34</w:t>
            </w:r>
          </w:p>
        </w:tc>
        <w:tc>
          <w:tcPr>
            <w:tcW w:w="3765" w:type="dxa"/>
            <w:tcBorders>
              <w:top w:val="dotted" w:sz="4" w:space="0" w:color="auto"/>
              <w:bottom w:val="dotted" w:sz="4" w:space="0" w:color="auto"/>
            </w:tcBorders>
          </w:tcPr>
          <w:p w14:paraId="5F98AD55" w14:textId="10E31038"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Advanced therapies: the sustainability challenge</w:t>
            </w:r>
          </w:p>
        </w:tc>
        <w:tc>
          <w:tcPr>
            <w:tcW w:w="4054" w:type="dxa"/>
            <w:tcBorders>
              <w:top w:val="dotted" w:sz="4" w:space="0" w:color="auto"/>
              <w:bottom w:val="dotted" w:sz="4" w:space="0" w:color="auto"/>
            </w:tcBorders>
          </w:tcPr>
          <w:p w14:paraId="7F3E831F" w14:textId="38562F70" w:rsidR="000001D2" w:rsidRPr="00CC3FFF" w:rsidRDefault="000001D2" w:rsidP="00524F24">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V. Marsili, L. Ottavi, G. Muzi, I. Proietti, C. Conti, V. Grespi</w:t>
            </w:r>
          </w:p>
        </w:tc>
      </w:tr>
      <w:tr w:rsidR="000001D2" w:rsidRPr="00CC3FFF" w14:paraId="1BCB5591" w14:textId="77777777" w:rsidTr="000001D2">
        <w:tc>
          <w:tcPr>
            <w:tcW w:w="461" w:type="dxa"/>
            <w:tcBorders>
              <w:top w:val="dotted" w:sz="4" w:space="0" w:color="auto"/>
              <w:bottom w:val="dotted" w:sz="4" w:space="0" w:color="auto"/>
            </w:tcBorders>
          </w:tcPr>
          <w:p w14:paraId="248D2E95" w14:textId="2FE88AF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35</w:t>
            </w:r>
          </w:p>
        </w:tc>
        <w:tc>
          <w:tcPr>
            <w:tcW w:w="3765" w:type="dxa"/>
            <w:tcBorders>
              <w:top w:val="dotted" w:sz="4" w:space="0" w:color="auto"/>
              <w:bottom w:val="dotted" w:sz="4" w:space="0" w:color="auto"/>
            </w:tcBorders>
          </w:tcPr>
          <w:p w14:paraId="5740DA60" w14:textId="51ADC31C"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The influence of standard hepatocyte medium and/or interleukin 13 on the phenotype of non-parenchymal hepatic cell lines in monoculture and co-culture in vitro</w:t>
            </w:r>
          </w:p>
        </w:tc>
        <w:tc>
          <w:tcPr>
            <w:tcW w:w="4054" w:type="dxa"/>
            <w:tcBorders>
              <w:top w:val="dotted" w:sz="4" w:space="0" w:color="auto"/>
              <w:bottom w:val="dotted" w:sz="4" w:space="0" w:color="auto"/>
            </w:tcBorders>
          </w:tcPr>
          <w:p w14:paraId="36EDB85E" w14:textId="6F8FCF9F" w:rsidR="000001D2" w:rsidRPr="00CC3FFF" w:rsidRDefault="000001D2" w:rsidP="00524F24">
            <w:pPr>
              <w:adjustRightInd w:val="0"/>
              <w:snapToGrid w:val="0"/>
              <w:spacing w:line="260" w:lineRule="atLeast"/>
              <w:rPr>
                <w:rFonts w:ascii="Times New Roman" w:eastAsia="Times New Roman" w:hAnsi="Times New Roman" w:cs="Times New Roman"/>
                <w:bCs/>
                <w:iCs/>
                <w:sz w:val="16"/>
                <w:szCs w:val="16"/>
              </w:rPr>
            </w:pPr>
            <w:r w:rsidRPr="00CC3FFF">
              <w:rPr>
                <w:rFonts w:ascii="Times New Roman" w:eastAsia="Times New Roman" w:hAnsi="Times New Roman" w:cs="Times New Roman"/>
                <w:bCs/>
                <w:iCs/>
                <w:sz w:val="16"/>
                <w:szCs w:val="16"/>
              </w:rPr>
              <w:t>A. Mazurski, E. Kolanko, P. Czekaj</w:t>
            </w:r>
          </w:p>
          <w:p w14:paraId="6E068351" w14:textId="04B53638"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p>
        </w:tc>
      </w:tr>
      <w:tr w:rsidR="000001D2" w:rsidRPr="00CC3FFF" w14:paraId="378F1BB9" w14:textId="77777777" w:rsidTr="000001D2">
        <w:tc>
          <w:tcPr>
            <w:tcW w:w="461" w:type="dxa"/>
            <w:tcBorders>
              <w:top w:val="dotted" w:sz="4" w:space="0" w:color="auto"/>
              <w:bottom w:val="dotted" w:sz="4" w:space="0" w:color="auto"/>
            </w:tcBorders>
          </w:tcPr>
          <w:p w14:paraId="629E64CE" w14:textId="58EC288B"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36</w:t>
            </w:r>
          </w:p>
        </w:tc>
        <w:tc>
          <w:tcPr>
            <w:tcW w:w="3765" w:type="dxa"/>
            <w:tcBorders>
              <w:top w:val="dotted" w:sz="4" w:space="0" w:color="auto"/>
              <w:bottom w:val="dotted" w:sz="4" w:space="0" w:color="auto"/>
            </w:tcBorders>
          </w:tcPr>
          <w:p w14:paraId="718E1776" w14:textId="7D13E067"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lang w:val="en-GB"/>
              </w:rPr>
              <w:t>Modelling CLCN7-associated osteopetrosis: iPSC/iMSC-based approach and PBMC-derived osteoclast differentiation in patient and control</w:t>
            </w:r>
          </w:p>
        </w:tc>
        <w:tc>
          <w:tcPr>
            <w:tcW w:w="4054" w:type="dxa"/>
            <w:tcBorders>
              <w:top w:val="dotted" w:sz="4" w:space="0" w:color="auto"/>
              <w:bottom w:val="dotted" w:sz="4" w:space="0" w:color="auto"/>
            </w:tcBorders>
          </w:tcPr>
          <w:p w14:paraId="3B66CA1D" w14:textId="35768F26" w:rsidR="000001D2" w:rsidRPr="00CC3FFF" w:rsidRDefault="000001D2" w:rsidP="00176E7D">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A. Minoia, A. Gandini, M. Braggio, C. Marchetti, M. De Paulis, F. Antoniazzi, L. Dalle Carbonare, M. T. Valenti</w:t>
            </w:r>
          </w:p>
        </w:tc>
      </w:tr>
      <w:tr w:rsidR="000001D2" w:rsidRPr="00CC3FFF" w14:paraId="544BEA37" w14:textId="77777777" w:rsidTr="000001D2">
        <w:tc>
          <w:tcPr>
            <w:tcW w:w="461" w:type="dxa"/>
            <w:tcBorders>
              <w:top w:val="dotted" w:sz="4" w:space="0" w:color="auto"/>
              <w:bottom w:val="dotted" w:sz="4" w:space="0" w:color="auto"/>
            </w:tcBorders>
          </w:tcPr>
          <w:p w14:paraId="08276A24" w14:textId="5B905D33"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37</w:t>
            </w:r>
          </w:p>
        </w:tc>
        <w:tc>
          <w:tcPr>
            <w:tcW w:w="3765" w:type="dxa"/>
            <w:tcBorders>
              <w:top w:val="dotted" w:sz="4" w:space="0" w:color="auto"/>
              <w:bottom w:val="dotted" w:sz="4" w:space="0" w:color="auto"/>
            </w:tcBorders>
          </w:tcPr>
          <w:p w14:paraId="6B1FAA10" w14:textId="36AC1301"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rPr>
              <w:t>Effect of the microenvironment on lyo-secretome from mesenchymal stromal cells: extensive characterization and in vitro biological activity</w:t>
            </w:r>
          </w:p>
        </w:tc>
        <w:tc>
          <w:tcPr>
            <w:tcW w:w="4054" w:type="dxa"/>
            <w:tcBorders>
              <w:top w:val="dotted" w:sz="4" w:space="0" w:color="auto"/>
              <w:bottom w:val="dotted" w:sz="4" w:space="0" w:color="auto"/>
            </w:tcBorders>
          </w:tcPr>
          <w:p w14:paraId="2CF280E1" w14:textId="18821B88" w:rsidR="000001D2" w:rsidRPr="00CC3FFF" w:rsidRDefault="000001D2" w:rsidP="00176E7D">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A. Modena, E. Bari, C. Catozzi, F. Ricci, C. Moscheni, S. Turi, R. Rossi, D. Di Silvestre, G. Villetti, M.L. Torre</w:t>
            </w:r>
          </w:p>
          <w:p w14:paraId="38CC107D" w14:textId="227CE88F"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6F702BD0" w14:textId="77777777" w:rsidTr="000001D2">
        <w:tc>
          <w:tcPr>
            <w:tcW w:w="461" w:type="dxa"/>
            <w:tcBorders>
              <w:top w:val="dotted" w:sz="4" w:space="0" w:color="auto"/>
              <w:bottom w:val="dotted" w:sz="4" w:space="0" w:color="auto"/>
            </w:tcBorders>
          </w:tcPr>
          <w:p w14:paraId="7F652DE6" w14:textId="5557C53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38</w:t>
            </w:r>
          </w:p>
        </w:tc>
        <w:tc>
          <w:tcPr>
            <w:tcW w:w="3765" w:type="dxa"/>
            <w:tcBorders>
              <w:top w:val="dotted" w:sz="4" w:space="0" w:color="auto"/>
              <w:bottom w:val="dotted" w:sz="4" w:space="0" w:color="auto"/>
            </w:tcBorders>
          </w:tcPr>
          <w:p w14:paraId="679EBC4D" w14:textId="7B868D1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A lung organoid model to study oxidative stress and inflammation in pulmonary diseases</w:t>
            </w:r>
          </w:p>
        </w:tc>
        <w:tc>
          <w:tcPr>
            <w:tcW w:w="4054" w:type="dxa"/>
            <w:tcBorders>
              <w:top w:val="dotted" w:sz="4" w:space="0" w:color="auto"/>
              <w:bottom w:val="dotted" w:sz="4" w:space="0" w:color="auto"/>
            </w:tcBorders>
          </w:tcPr>
          <w:p w14:paraId="4FAAB79B" w14:textId="58B69EA5" w:rsidR="000001D2" w:rsidRPr="00CC3FFF" w:rsidRDefault="000001D2" w:rsidP="00176E7D">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R. Moll-Diaz, P. Bisaccia, A. Zaramella, M. Duci, E. Bettella, E. Baraldi, M. Muraca, M. Pozzobon</w:t>
            </w:r>
          </w:p>
        </w:tc>
      </w:tr>
      <w:tr w:rsidR="000001D2" w:rsidRPr="00CC3FFF" w14:paraId="41C83136" w14:textId="77777777" w:rsidTr="000001D2">
        <w:tc>
          <w:tcPr>
            <w:tcW w:w="461" w:type="dxa"/>
            <w:tcBorders>
              <w:top w:val="dotted" w:sz="4" w:space="0" w:color="auto"/>
              <w:bottom w:val="dotted" w:sz="4" w:space="0" w:color="auto"/>
            </w:tcBorders>
          </w:tcPr>
          <w:p w14:paraId="3D4DBFC0" w14:textId="0464E249"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39</w:t>
            </w:r>
          </w:p>
        </w:tc>
        <w:tc>
          <w:tcPr>
            <w:tcW w:w="3765" w:type="dxa"/>
            <w:tcBorders>
              <w:top w:val="dotted" w:sz="4" w:space="0" w:color="auto"/>
              <w:bottom w:val="dotted" w:sz="4" w:space="0" w:color="auto"/>
            </w:tcBorders>
          </w:tcPr>
          <w:p w14:paraId="6AC205E2" w14:textId="56F83AC5"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Lipidomic basis of enhanced paclitaxel efficacy via MFAT in glioblastoma</w:t>
            </w:r>
          </w:p>
        </w:tc>
        <w:tc>
          <w:tcPr>
            <w:tcW w:w="4054" w:type="dxa"/>
            <w:tcBorders>
              <w:top w:val="dotted" w:sz="4" w:space="0" w:color="auto"/>
              <w:bottom w:val="dotted" w:sz="4" w:space="0" w:color="auto"/>
            </w:tcBorders>
          </w:tcPr>
          <w:p w14:paraId="39D5439F" w14:textId="7F4D21D3" w:rsidR="000001D2" w:rsidRPr="00CC3FFF" w:rsidRDefault="000001D2" w:rsidP="00823FD0">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C. Morano, V. Coccè, M. Dei Cas, F. Paino, A. Sadikovic, L. Doneda, P. Giussani, G. Alessandri, C. Tremolada, R. Paroni, A. Pessina</w:t>
            </w:r>
          </w:p>
        </w:tc>
      </w:tr>
      <w:tr w:rsidR="000001D2" w:rsidRPr="00CC3FFF" w14:paraId="56E76553" w14:textId="77777777" w:rsidTr="000001D2">
        <w:tc>
          <w:tcPr>
            <w:tcW w:w="461" w:type="dxa"/>
            <w:tcBorders>
              <w:top w:val="dotted" w:sz="4" w:space="0" w:color="auto"/>
              <w:bottom w:val="dotted" w:sz="4" w:space="0" w:color="auto"/>
            </w:tcBorders>
          </w:tcPr>
          <w:p w14:paraId="3814BEAF" w14:textId="1DC8A183"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40</w:t>
            </w:r>
          </w:p>
        </w:tc>
        <w:tc>
          <w:tcPr>
            <w:tcW w:w="3765" w:type="dxa"/>
            <w:tcBorders>
              <w:top w:val="dotted" w:sz="4" w:space="0" w:color="auto"/>
              <w:bottom w:val="dotted" w:sz="4" w:space="0" w:color="auto"/>
            </w:tcBorders>
          </w:tcPr>
          <w:p w14:paraId="0EE3FFCB" w14:textId="287E657E"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In vitro expansion of human adipose-derived mesenchymal stromal cells for regenerative applications reveals dynamic small-variant changes within a stable genetic background</w:t>
            </w:r>
          </w:p>
        </w:tc>
        <w:tc>
          <w:tcPr>
            <w:tcW w:w="4054" w:type="dxa"/>
            <w:tcBorders>
              <w:top w:val="dotted" w:sz="4" w:space="0" w:color="auto"/>
              <w:bottom w:val="dotted" w:sz="4" w:space="0" w:color="auto"/>
            </w:tcBorders>
          </w:tcPr>
          <w:p w14:paraId="2D017835" w14:textId="0A1869CC" w:rsidR="000001D2" w:rsidRPr="00CC3FFF" w:rsidRDefault="000001D2" w:rsidP="008969C1">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S. Neri, I. Bartolotti, E. Pedrini, C. Manferdini, E. Assirelli, F. Ursini</w:t>
            </w:r>
          </w:p>
          <w:p w14:paraId="5BD8B568" w14:textId="1786E4BA"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60AF313B" w14:textId="77777777" w:rsidTr="000001D2">
        <w:tc>
          <w:tcPr>
            <w:tcW w:w="461" w:type="dxa"/>
            <w:tcBorders>
              <w:top w:val="dotted" w:sz="4" w:space="0" w:color="auto"/>
              <w:bottom w:val="dotted" w:sz="4" w:space="0" w:color="auto"/>
            </w:tcBorders>
          </w:tcPr>
          <w:p w14:paraId="0626FC0B" w14:textId="227F488C"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41</w:t>
            </w:r>
          </w:p>
        </w:tc>
        <w:tc>
          <w:tcPr>
            <w:tcW w:w="3765" w:type="dxa"/>
            <w:tcBorders>
              <w:top w:val="dotted" w:sz="4" w:space="0" w:color="auto"/>
              <w:bottom w:val="dotted" w:sz="4" w:space="0" w:color="auto"/>
            </w:tcBorders>
          </w:tcPr>
          <w:p w14:paraId="209FF223" w14:textId="4A3192F4"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lang w:val="en-GB"/>
              </w:rPr>
              <w:t>Dissecting the role of amniotic epithelial and mesenchymal cells in amniotic membrane–mediated chronic wound healing</w:t>
            </w:r>
          </w:p>
        </w:tc>
        <w:tc>
          <w:tcPr>
            <w:tcW w:w="4054" w:type="dxa"/>
            <w:tcBorders>
              <w:top w:val="dotted" w:sz="4" w:space="0" w:color="auto"/>
              <w:bottom w:val="dotted" w:sz="4" w:space="0" w:color="auto"/>
            </w:tcBorders>
          </w:tcPr>
          <w:p w14:paraId="3318EEC6" w14:textId="3B8CFF60" w:rsidR="000001D2" w:rsidRPr="00CC3FFF" w:rsidRDefault="000001D2" w:rsidP="000F5915">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M. Alcaraz-Romero, I. Hernández-Mármol, J. M. Puente-Cuadrado, M. Rodríguez-Valiente, A. R. Silini, O. Parolini, F. J. Nicolás</w:t>
            </w:r>
          </w:p>
        </w:tc>
      </w:tr>
      <w:tr w:rsidR="000001D2" w:rsidRPr="00CC3FFF" w14:paraId="5FA2A118" w14:textId="77777777" w:rsidTr="000001D2">
        <w:tc>
          <w:tcPr>
            <w:tcW w:w="461" w:type="dxa"/>
            <w:tcBorders>
              <w:top w:val="dotted" w:sz="4" w:space="0" w:color="auto"/>
              <w:bottom w:val="dotted" w:sz="4" w:space="0" w:color="auto"/>
            </w:tcBorders>
          </w:tcPr>
          <w:p w14:paraId="3C0082D8" w14:textId="490467A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42</w:t>
            </w:r>
          </w:p>
        </w:tc>
        <w:tc>
          <w:tcPr>
            <w:tcW w:w="3765" w:type="dxa"/>
            <w:tcBorders>
              <w:top w:val="dotted" w:sz="4" w:space="0" w:color="auto"/>
              <w:bottom w:val="dotted" w:sz="4" w:space="0" w:color="auto"/>
            </w:tcBorders>
          </w:tcPr>
          <w:p w14:paraId="7AA86D36" w14:textId="773B1DA5"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Secretome from micro-fragmented human adipose tissue modulates inflammatory activity of monocytes/macrophages via ICAM-1</w:t>
            </w:r>
          </w:p>
        </w:tc>
        <w:tc>
          <w:tcPr>
            <w:tcW w:w="4054" w:type="dxa"/>
            <w:tcBorders>
              <w:top w:val="dotted" w:sz="4" w:space="0" w:color="auto"/>
              <w:bottom w:val="dotted" w:sz="4" w:space="0" w:color="auto"/>
            </w:tcBorders>
          </w:tcPr>
          <w:p w14:paraId="2A729B2B" w14:textId="020554E9" w:rsidR="000001D2" w:rsidRPr="00CC3FFF" w:rsidRDefault="000001D2" w:rsidP="00B059F7">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V. Coccè, E. Martegani, F. Paino, L. Doneda, G. Alessandri, B. Manfredi, A. Giannì, E. Ciusani, E.Colombani, C. Tremolada, A. Pessina</w:t>
            </w:r>
          </w:p>
        </w:tc>
      </w:tr>
      <w:tr w:rsidR="000001D2" w:rsidRPr="00CC3FFF" w14:paraId="7E60C629" w14:textId="77777777" w:rsidTr="000001D2">
        <w:tc>
          <w:tcPr>
            <w:tcW w:w="461" w:type="dxa"/>
            <w:tcBorders>
              <w:top w:val="dotted" w:sz="4" w:space="0" w:color="auto"/>
              <w:bottom w:val="dotted" w:sz="4" w:space="0" w:color="auto"/>
            </w:tcBorders>
          </w:tcPr>
          <w:p w14:paraId="7D0B08E1" w14:textId="20DF43ED"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43</w:t>
            </w:r>
          </w:p>
        </w:tc>
        <w:tc>
          <w:tcPr>
            <w:tcW w:w="3765" w:type="dxa"/>
            <w:tcBorders>
              <w:top w:val="dotted" w:sz="4" w:space="0" w:color="auto"/>
              <w:bottom w:val="dotted" w:sz="4" w:space="0" w:color="auto"/>
            </w:tcBorders>
          </w:tcPr>
          <w:p w14:paraId="2B60A6E9" w14:textId="3969AD90"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rPr>
              <w:t>Perinatal stem cell spheroids for cell-based therapy in type 1 diabetes: immunomodulatory and differentiation properties</w:t>
            </w:r>
          </w:p>
        </w:tc>
        <w:tc>
          <w:tcPr>
            <w:tcW w:w="4054" w:type="dxa"/>
            <w:tcBorders>
              <w:top w:val="dotted" w:sz="4" w:space="0" w:color="auto"/>
              <w:bottom w:val="dotted" w:sz="4" w:space="0" w:color="auto"/>
            </w:tcBorders>
          </w:tcPr>
          <w:p w14:paraId="35F00632" w14:textId="65920AA6" w:rsidR="000001D2" w:rsidRPr="00CC3FFF" w:rsidRDefault="000001D2" w:rsidP="00775A6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F. Paris, A. Rambaldi, A. Sodomaco, P. Marrazzo, R. Costa, A. Cappellini, P. Lombardi, G. Simonazzi, M. Lanari, S. Ratti, F. Alviano</w:t>
            </w:r>
          </w:p>
        </w:tc>
      </w:tr>
      <w:tr w:rsidR="000001D2" w:rsidRPr="00CC3FFF" w14:paraId="604B2E30" w14:textId="77777777" w:rsidTr="000001D2">
        <w:tc>
          <w:tcPr>
            <w:tcW w:w="461" w:type="dxa"/>
            <w:tcBorders>
              <w:top w:val="dotted" w:sz="4" w:space="0" w:color="auto"/>
              <w:bottom w:val="dotted" w:sz="4" w:space="0" w:color="auto"/>
            </w:tcBorders>
          </w:tcPr>
          <w:p w14:paraId="619F16C4" w14:textId="178F34D2" w:rsidR="000001D2" w:rsidRPr="00CC3FFF" w:rsidRDefault="000001D2" w:rsidP="0094778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44</w:t>
            </w:r>
          </w:p>
        </w:tc>
        <w:tc>
          <w:tcPr>
            <w:tcW w:w="3765" w:type="dxa"/>
            <w:tcBorders>
              <w:top w:val="dotted" w:sz="4" w:space="0" w:color="auto"/>
              <w:bottom w:val="dotted" w:sz="4" w:space="0" w:color="auto"/>
            </w:tcBorders>
          </w:tcPr>
          <w:p w14:paraId="2F39516B" w14:textId="1D5060A0" w:rsidR="000001D2" w:rsidRPr="00CC3FFF" w:rsidRDefault="000001D2" w:rsidP="0094778F">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rPr>
              <w:t>Multilineage-Differentiating Stress-Enduring (MUSE) cells as an innovative in vitro cellular model to study mood and psychotic disorders</w:t>
            </w:r>
          </w:p>
        </w:tc>
        <w:tc>
          <w:tcPr>
            <w:tcW w:w="4054" w:type="dxa"/>
            <w:tcBorders>
              <w:top w:val="dotted" w:sz="4" w:space="0" w:color="auto"/>
              <w:bottom w:val="dotted" w:sz="4" w:space="0" w:color="auto"/>
            </w:tcBorders>
          </w:tcPr>
          <w:p w14:paraId="44F54525" w14:textId="1DF91FE3" w:rsidR="000001D2" w:rsidRPr="00CC3FFF" w:rsidRDefault="000001D2" w:rsidP="00311421">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D. Patrone, D. Aprile, N. Alessio, D. Siniscalco, G. Di Bernardo, U. Galderisi</w:t>
            </w:r>
          </w:p>
        </w:tc>
      </w:tr>
      <w:tr w:rsidR="000001D2" w:rsidRPr="00CC3FFF" w14:paraId="18256E6B" w14:textId="77777777" w:rsidTr="000001D2">
        <w:tc>
          <w:tcPr>
            <w:tcW w:w="461" w:type="dxa"/>
            <w:tcBorders>
              <w:top w:val="dotted" w:sz="4" w:space="0" w:color="auto"/>
              <w:bottom w:val="dotted" w:sz="4" w:space="0" w:color="auto"/>
            </w:tcBorders>
          </w:tcPr>
          <w:p w14:paraId="5D77F794" w14:textId="645E62E2"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45</w:t>
            </w:r>
          </w:p>
        </w:tc>
        <w:tc>
          <w:tcPr>
            <w:tcW w:w="3765" w:type="dxa"/>
            <w:tcBorders>
              <w:top w:val="dotted" w:sz="4" w:space="0" w:color="auto"/>
              <w:bottom w:val="dotted" w:sz="4" w:space="0" w:color="auto"/>
            </w:tcBorders>
          </w:tcPr>
          <w:p w14:paraId="5E61C7B3" w14:textId="7B45DF80"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The potential of decellularized Wharton’s jelly as a bioscaffold in stimulating cellular functional recovery</w:t>
            </w:r>
          </w:p>
        </w:tc>
        <w:tc>
          <w:tcPr>
            <w:tcW w:w="4054" w:type="dxa"/>
            <w:tcBorders>
              <w:top w:val="dotted" w:sz="4" w:space="0" w:color="auto"/>
              <w:bottom w:val="dotted" w:sz="4" w:space="0" w:color="auto"/>
            </w:tcBorders>
          </w:tcPr>
          <w:p w14:paraId="6836FD2F" w14:textId="020B9B3E" w:rsidR="000001D2" w:rsidRPr="00CC3FFF" w:rsidRDefault="000001D2" w:rsidP="00AB20BA">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L. Penolazzi, A. Chierici, G. D’Atri, C. Manferdini, R. Nadalini, C. Nastruzzi, G. Lisignoli, R. Piva</w:t>
            </w:r>
          </w:p>
        </w:tc>
      </w:tr>
      <w:tr w:rsidR="000001D2" w:rsidRPr="00CC3FFF" w14:paraId="304A5318" w14:textId="77777777" w:rsidTr="000001D2">
        <w:tc>
          <w:tcPr>
            <w:tcW w:w="461" w:type="dxa"/>
            <w:tcBorders>
              <w:top w:val="dotted" w:sz="4" w:space="0" w:color="auto"/>
              <w:bottom w:val="dotted" w:sz="4" w:space="0" w:color="auto"/>
            </w:tcBorders>
          </w:tcPr>
          <w:p w14:paraId="6F09C154" w14:textId="7C0ED6ED"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46</w:t>
            </w:r>
          </w:p>
        </w:tc>
        <w:tc>
          <w:tcPr>
            <w:tcW w:w="3765" w:type="dxa"/>
            <w:tcBorders>
              <w:top w:val="dotted" w:sz="4" w:space="0" w:color="auto"/>
              <w:bottom w:val="dotted" w:sz="4" w:space="0" w:color="auto"/>
            </w:tcBorders>
          </w:tcPr>
          <w:p w14:paraId="644AB823" w14:textId="36E2EE8C"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Characterization of human dermis-derived mesenchymal stem cells during long-term in vitro culture and stress conditions</w:t>
            </w:r>
          </w:p>
        </w:tc>
        <w:tc>
          <w:tcPr>
            <w:tcW w:w="4054" w:type="dxa"/>
            <w:tcBorders>
              <w:top w:val="dotted" w:sz="4" w:space="0" w:color="auto"/>
              <w:bottom w:val="dotted" w:sz="4" w:space="0" w:color="auto"/>
            </w:tcBorders>
          </w:tcPr>
          <w:p w14:paraId="53B2A7A2" w14:textId="1E7B73D2" w:rsidR="000001D2" w:rsidRPr="00CC3FFF" w:rsidRDefault="000001D2" w:rsidP="00C31F2C">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G. Petrocelli, F. Decataldo, R. Tassinari, P. M. Abruzzo, K. Sohrabian, T. Cramer, F. Facchin, S. Canaider</w:t>
            </w:r>
          </w:p>
        </w:tc>
      </w:tr>
      <w:tr w:rsidR="000001D2" w:rsidRPr="00CC3FFF" w14:paraId="70974129" w14:textId="77777777" w:rsidTr="000001D2">
        <w:tc>
          <w:tcPr>
            <w:tcW w:w="461" w:type="dxa"/>
            <w:tcBorders>
              <w:top w:val="dotted" w:sz="4" w:space="0" w:color="auto"/>
              <w:bottom w:val="dotted" w:sz="4" w:space="0" w:color="auto"/>
            </w:tcBorders>
          </w:tcPr>
          <w:p w14:paraId="2E629091" w14:textId="040E3F99"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47</w:t>
            </w:r>
          </w:p>
        </w:tc>
        <w:tc>
          <w:tcPr>
            <w:tcW w:w="3765" w:type="dxa"/>
            <w:tcBorders>
              <w:top w:val="dotted" w:sz="4" w:space="0" w:color="auto"/>
              <w:bottom w:val="dotted" w:sz="4" w:space="0" w:color="auto"/>
            </w:tcBorders>
          </w:tcPr>
          <w:p w14:paraId="1650E425" w14:textId="22ECA30D"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A humanized 3D bioprinted model for studying breast cancer bone metastasis</w:t>
            </w:r>
          </w:p>
        </w:tc>
        <w:tc>
          <w:tcPr>
            <w:tcW w:w="4054" w:type="dxa"/>
            <w:tcBorders>
              <w:top w:val="dotted" w:sz="4" w:space="0" w:color="auto"/>
              <w:bottom w:val="dotted" w:sz="4" w:space="0" w:color="auto"/>
            </w:tcBorders>
          </w:tcPr>
          <w:p w14:paraId="384D0E46" w14:textId="5E243953" w:rsidR="000001D2" w:rsidRPr="00CC3FFF" w:rsidRDefault="000001D2" w:rsidP="007C5E9F">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S. Pontara, F. Gennaro, L. Mastracci, M. Mastrogiacomo, C. Mota, C. Gentili</w:t>
            </w:r>
          </w:p>
        </w:tc>
      </w:tr>
      <w:tr w:rsidR="000001D2" w:rsidRPr="00CC3FFF" w14:paraId="2400EFEB" w14:textId="77777777" w:rsidTr="000001D2">
        <w:tc>
          <w:tcPr>
            <w:tcW w:w="461" w:type="dxa"/>
            <w:tcBorders>
              <w:top w:val="dotted" w:sz="4" w:space="0" w:color="auto"/>
              <w:bottom w:val="dotted" w:sz="4" w:space="0" w:color="auto"/>
            </w:tcBorders>
          </w:tcPr>
          <w:p w14:paraId="75ABC5B1" w14:textId="4E91CA04"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48</w:t>
            </w:r>
          </w:p>
        </w:tc>
        <w:tc>
          <w:tcPr>
            <w:tcW w:w="3765" w:type="dxa"/>
            <w:tcBorders>
              <w:top w:val="dotted" w:sz="4" w:space="0" w:color="auto"/>
              <w:bottom w:val="dotted" w:sz="4" w:space="0" w:color="auto"/>
            </w:tcBorders>
          </w:tcPr>
          <w:p w14:paraId="59CC049F" w14:textId="6D1D650F"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When contamination is not an option: microbiological monitoring in ATMPs</w:t>
            </w:r>
          </w:p>
        </w:tc>
        <w:tc>
          <w:tcPr>
            <w:tcW w:w="4054" w:type="dxa"/>
            <w:tcBorders>
              <w:top w:val="dotted" w:sz="4" w:space="0" w:color="auto"/>
              <w:bottom w:val="dotted" w:sz="4" w:space="0" w:color="auto"/>
            </w:tcBorders>
          </w:tcPr>
          <w:p w14:paraId="02DA2234" w14:textId="3954A107" w:rsidR="000001D2" w:rsidRPr="00CC3FFF" w:rsidRDefault="000001D2" w:rsidP="00CF4F57">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I. Proietti, L. Ottavi, G. Muzi, C. Conti, V. Grespi, V. Marsili</w:t>
            </w:r>
          </w:p>
        </w:tc>
      </w:tr>
      <w:tr w:rsidR="000001D2" w:rsidRPr="00CC3FFF" w14:paraId="4F4BC6C1" w14:textId="77777777" w:rsidTr="000001D2">
        <w:tc>
          <w:tcPr>
            <w:tcW w:w="461" w:type="dxa"/>
            <w:tcBorders>
              <w:top w:val="dotted" w:sz="4" w:space="0" w:color="auto"/>
              <w:bottom w:val="dotted" w:sz="4" w:space="0" w:color="auto"/>
            </w:tcBorders>
          </w:tcPr>
          <w:p w14:paraId="5300CC39" w14:textId="6D126E08"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49</w:t>
            </w:r>
          </w:p>
        </w:tc>
        <w:tc>
          <w:tcPr>
            <w:tcW w:w="3765" w:type="dxa"/>
            <w:tcBorders>
              <w:top w:val="dotted" w:sz="4" w:space="0" w:color="auto"/>
              <w:bottom w:val="dotted" w:sz="4" w:space="0" w:color="auto"/>
            </w:tcBorders>
          </w:tcPr>
          <w:p w14:paraId="60A78AB2" w14:textId="155CD1D2"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 xml:space="preserve">New players in bone anabolism by skeletogenic stem cells: the desmin/myo-inositol duo and its translational </w:t>
            </w:r>
            <w:r w:rsidRPr="00CC3FFF">
              <w:rPr>
                <w:rFonts w:ascii="Times New Roman" w:eastAsia="Times New Roman" w:hAnsi="Times New Roman" w:cs="Times New Roman"/>
                <w:sz w:val="16"/>
                <w:szCs w:val="16"/>
                <w:lang w:val="en-GB"/>
              </w:rPr>
              <w:lastRenderedPageBreak/>
              <w:t>relevance</w:t>
            </w:r>
          </w:p>
        </w:tc>
        <w:tc>
          <w:tcPr>
            <w:tcW w:w="4054" w:type="dxa"/>
            <w:tcBorders>
              <w:top w:val="dotted" w:sz="4" w:space="0" w:color="auto"/>
              <w:bottom w:val="dotted" w:sz="4" w:space="0" w:color="auto"/>
            </w:tcBorders>
          </w:tcPr>
          <w:p w14:paraId="1680CB0C" w14:textId="4D7D7BB3" w:rsidR="000001D2" w:rsidRPr="00CC3FFF" w:rsidRDefault="000001D2" w:rsidP="00C04F5C">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lastRenderedPageBreak/>
              <w:t xml:space="preserve">F. P. Quartulli, G. Di Conza, F. Barbaro, M. Scarpa, E. Gabusi, G. Lisignoli, S. Mosca, S. Caravelli, G. Gardini, M. </w:t>
            </w:r>
            <w:r w:rsidRPr="00CC3FFF">
              <w:rPr>
                <w:rFonts w:ascii="Times New Roman" w:eastAsia="Times New Roman" w:hAnsi="Times New Roman" w:cs="Times New Roman"/>
                <w:bCs/>
                <w:iCs/>
                <w:sz w:val="16"/>
                <w:szCs w:val="16"/>
                <w:lang w:val="it-IT"/>
              </w:rPr>
              <w:lastRenderedPageBreak/>
              <w:t>Mosca, S. Sprio, A. Tampieri, R. Toni</w:t>
            </w:r>
          </w:p>
        </w:tc>
      </w:tr>
      <w:tr w:rsidR="000001D2" w:rsidRPr="00CC3FFF" w14:paraId="7B383489" w14:textId="77777777" w:rsidTr="000001D2">
        <w:tc>
          <w:tcPr>
            <w:tcW w:w="461" w:type="dxa"/>
            <w:tcBorders>
              <w:top w:val="dotted" w:sz="4" w:space="0" w:color="auto"/>
              <w:bottom w:val="dotted" w:sz="4" w:space="0" w:color="auto"/>
            </w:tcBorders>
          </w:tcPr>
          <w:p w14:paraId="2914BB99" w14:textId="75347112"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lastRenderedPageBreak/>
              <w:t>50</w:t>
            </w:r>
          </w:p>
        </w:tc>
        <w:tc>
          <w:tcPr>
            <w:tcW w:w="3765" w:type="dxa"/>
            <w:tcBorders>
              <w:top w:val="dotted" w:sz="4" w:space="0" w:color="auto"/>
              <w:bottom w:val="dotted" w:sz="4" w:space="0" w:color="auto"/>
            </w:tcBorders>
          </w:tcPr>
          <w:p w14:paraId="1B6D9C20" w14:textId="4A5E2ED8"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Inflammatory priming activates the healing ability of adipose-derived stem cells in osteoarthritis</w:t>
            </w:r>
          </w:p>
        </w:tc>
        <w:tc>
          <w:tcPr>
            <w:tcW w:w="4054" w:type="dxa"/>
            <w:tcBorders>
              <w:top w:val="dotted" w:sz="4" w:space="0" w:color="auto"/>
              <w:bottom w:val="dotted" w:sz="4" w:space="0" w:color="auto"/>
            </w:tcBorders>
          </w:tcPr>
          <w:p w14:paraId="570B2C4C" w14:textId="67823152" w:rsidR="000001D2" w:rsidRPr="00CC3FFF" w:rsidRDefault="000001D2" w:rsidP="00FA66AC">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V. Raffo, A. Colombini, M. M. Ligotti, S. Lopa, V. Ippolito, A. Gallo, N. Cuscino, S. D. Scilabra, M. Lo Pinto, S. Messina, A. Orlando, M. Moretti, L. de Girolamo, M. Bulati, V. Miceli</w:t>
            </w:r>
          </w:p>
        </w:tc>
      </w:tr>
      <w:tr w:rsidR="000001D2" w:rsidRPr="00CC3FFF" w14:paraId="58284B0C" w14:textId="77777777" w:rsidTr="000001D2">
        <w:tc>
          <w:tcPr>
            <w:tcW w:w="461" w:type="dxa"/>
            <w:tcBorders>
              <w:top w:val="dotted" w:sz="4" w:space="0" w:color="auto"/>
              <w:bottom w:val="dotted" w:sz="4" w:space="0" w:color="auto"/>
            </w:tcBorders>
          </w:tcPr>
          <w:p w14:paraId="3644665A" w14:textId="22EB4563"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51</w:t>
            </w:r>
          </w:p>
        </w:tc>
        <w:tc>
          <w:tcPr>
            <w:tcW w:w="3765" w:type="dxa"/>
            <w:tcBorders>
              <w:top w:val="dotted" w:sz="4" w:space="0" w:color="auto"/>
              <w:bottom w:val="dotted" w:sz="4" w:space="0" w:color="auto"/>
            </w:tcBorders>
          </w:tcPr>
          <w:p w14:paraId="79176AD3" w14:textId="193B4E2D"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Good manufacturing practice-compliant process optimization for the production of safe and effective cartilage cells to treat diffuse cartilage lesions</w:t>
            </w:r>
          </w:p>
        </w:tc>
        <w:tc>
          <w:tcPr>
            <w:tcW w:w="4054" w:type="dxa"/>
            <w:tcBorders>
              <w:top w:val="dotted" w:sz="4" w:space="0" w:color="auto"/>
              <w:bottom w:val="dotted" w:sz="4" w:space="0" w:color="auto"/>
            </w:tcBorders>
          </w:tcPr>
          <w:p w14:paraId="126A2295" w14:textId="09D16F49" w:rsidR="000001D2" w:rsidRPr="00CC3FFF" w:rsidRDefault="000001D2" w:rsidP="00EA68A1">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V. Raffo, A. Colombini, S. Lopa, I. Ferrero, K. Mareschi, M. Lo Pinto, S. D. Scilabra, L. Mangiavini, M. Moretti, L. de Girolamo</w:t>
            </w:r>
          </w:p>
        </w:tc>
      </w:tr>
      <w:tr w:rsidR="000001D2" w:rsidRPr="00CC3FFF" w14:paraId="51DA7DE9" w14:textId="77777777" w:rsidTr="000001D2">
        <w:tc>
          <w:tcPr>
            <w:tcW w:w="461" w:type="dxa"/>
            <w:tcBorders>
              <w:top w:val="dotted" w:sz="4" w:space="0" w:color="auto"/>
              <w:bottom w:val="dotted" w:sz="4" w:space="0" w:color="auto"/>
            </w:tcBorders>
          </w:tcPr>
          <w:p w14:paraId="1CD40053" w14:textId="434725A1"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52</w:t>
            </w:r>
          </w:p>
        </w:tc>
        <w:tc>
          <w:tcPr>
            <w:tcW w:w="3765" w:type="dxa"/>
            <w:tcBorders>
              <w:top w:val="dotted" w:sz="4" w:space="0" w:color="auto"/>
              <w:bottom w:val="dotted" w:sz="4" w:space="0" w:color="auto"/>
            </w:tcBorders>
          </w:tcPr>
          <w:p w14:paraId="0C1D3863" w14:textId="6EB07F8C"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Side-to-side characterisation of soluble factors, cellular content and in vitro potential on chondrocytes for MSCs based adipose-derived stromal vascular fraction and bone marrow aspirate concentrate</w:t>
            </w:r>
          </w:p>
        </w:tc>
        <w:tc>
          <w:tcPr>
            <w:tcW w:w="4054" w:type="dxa"/>
            <w:tcBorders>
              <w:top w:val="dotted" w:sz="4" w:space="0" w:color="auto"/>
              <w:bottom w:val="dotted" w:sz="4" w:space="0" w:color="auto"/>
            </w:tcBorders>
          </w:tcPr>
          <w:p w14:paraId="5808E556" w14:textId="57E08BD0" w:rsidR="000001D2" w:rsidRPr="00CC3FFF" w:rsidRDefault="000001D2" w:rsidP="007D3CFB">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 xml:space="preserve">E. Ragni, M.  Taiana, </w:t>
            </w:r>
            <w:r w:rsidRPr="00AD058E">
              <w:rPr>
                <w:rFonts w:ascii="Times New Roman" w:eastAsia="Times New Roman" w:hAnsi="Times New Roman" w:cs="Times New Roman"/>
                <w:bCs/>
                <w:iCs/>
                <w:sz w:val="16"/>
                <w:szCs w:val="16"/>
                <w:lang w:val="it-IT"/>
              </w:rPr>
              <w:t>S. Landon</w:t>
            </w:r>
            <w:r w:rsidR="00AD058E" w:rsidRPr="00AD058E">
              <w:rPr>
                <w:rFonts w:ascii="Times New Roman" w:eastAsia="Times New Roman" w:hAnsi="Times New Roman" w:cs="Times New Roman" w:hint="eastAsia"/>
                <w:bCs/>
                <w:iCs/>
                <w:sz w:val="16"/>
                <w:szCs w:val="16"/>
                <w:lang w:val="it-IT"/>
              </w:rPr>
              <w:t>i</w:t>
            </w:r>
            <w:r w:rsidRPr="00AD058E">
              <w:rPr>
                <w:rFonts w:ascii="Times New Roman" w:eastAsia="Times New Roman" w:hAnsi="Times New Roman" w:cs="Times New Roman"/>
                <w:bCs/>
                <w:iCs/>
                <w:sz w:val="16"/>
                <w:szCs w:val="16"/>
                <w:lang w:val="it-IT"/>
              </w:rPr>
              <w:t>,</w:t>
            </w:r>
            <w:r w:rsidRPr="00CC3FFF">
              <w:rPr>
                <w:rFonts w:ascii="Times New Roman" w:eastAsia="Times New Roman" w:hAnsi="Times New Roman" w:cs="Times New Roman"/>
                <w:bCs/>
                <w:iCs/>
                <w:sz w:val="16"/>
                <w:szCs w:val="16"/>
                <w:lang w:val="it-IT"/>
              </w:rPr>
              <w:t xml:space="preserve"> E. Kon, G. Grieco, R. Lauro, C. Visconte, C. Colombo, L. Mangiavini, G. Peretti, Laura de Girolamo </w:t>
            </w:r>
          </w:p>
        </w:tc>
      </w:tr>
      <w:tr w:rsidR="000001D2" w:rsidRPr="00CC3FFF" w14:paraId="60EBAAAD" w14:textId="77777777" w:rsidTr="000001D2">
        <w:tc>
          <w:tcPr>
            <w:tcW w:w="461" w:type="dxa"/>
            <w:tcBorders>
              <w:top w:val="dotted" w:sz="4" w:space="0" w:color="auto"/>
              <w:bottom w:val="dotted" w:sz="4" w:space="0" w:color="auto"/>
            </w:tcBorders>
          </w:tcPr>
          <w:p w14:paraId="461D355A" w14:textId="4F8EA808"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sz w:val="16"/>
                <w:szCs w:val="16"/>
                <w:lang w:val="it-IT"/>
              </w:rPr>
              <w:t>53</w:t>
            </w:r>
          </w:p>
        </w:tc>
        <w:tc>
          <w:tcPr>
            <w:tcW w:w="3765" w:type="dxa"/>
            <w:tcBorders>
              <w:top w:val="dotted" w:sz="4" w:space="0" w:color="auto"/>
              <w:bottom w:val="dotted" w:sz="4" w:space="0" w:color="auto"/>
            </w:tcBorders>
          </w:tcPr>
          <w:p w14:paraId="69949223" w14:textId="24831A6D" w:rsidR="000001D2" w:rsidRPr="00CC3FFF" w:rsidRDefault="000001D2" w:rsidP="00C31F2C">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rPr>
              <w:t>Culture-driven selection of SSEA3</w:t>
            </w:r>
            <w:r w:rsidRPr="001E5E0A">
              <w:rPr>
                <w:rFonts w:ascii="Times New Roman" w:eastAsia="Times New Roman" w:hAnsi="Times New Roman" w:cs="Times New Roman"/>
                <w:sz w:val="16"/>
                <w:szCs w:val="16"/>
                <w:vertAlign w:val="superscript"/>
              </w:rPr>
              <w:t>+</w:t>
            </w:r>
            <w:r w:rsidRPr="00CC3FFF">
              <w:rPr>
                <w:rFonts w:ascii="Times New Roman" w:eastAsia="Times New Roman" w:hAnsi="Times New Roman" w:cs="Times New Roman"/>
                <w:sz w:val="16"/>
                <w:szCs w:val="16"/>
              </w:rPr>
              <w:t xml:space="preserve"> pluripotent MUSE-like cells from human mesenchymal stem cells</w:t>
            </w:r>
          </w:p>
        </w:tc>
        <w:tc>
          <w:tcPr>
            <w:tcW w:w="4054" w:type="dxa"/>
            <w:tcBorders>
              <w:top w:val="dotted" w:sz="4" w:space="0" w:color="auto"/>
              <w:bottom w:val="dotted" w:sz="4" w:space="0" w:color="auto"/>
            </w:tcBorders>
          </w:tcPr>
          <w:p w14:paraId="596E8E17" w14:textId="289027C0" w:rsidR="000001D2" w:rsidRPr="00CC3FFF" w:rsidRDefault="000001D2" w:rsidP="007D3CFB">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A. Repetto, A. Muraglia, G. Filaci, D.Reverberi, R. Cancedda, M. Mastrogiacomo</w:t>
            </w:r>
          </w:p>
          <w:p w14:paraId="03B73DC2" w14:textId="478BCE1A"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1FDA0825" w14:textId="77777777" w:rsidTr="000001D2">
        <w:tc>
          <w:tcPr>
            <w:tcW w:w="461" w:type="dxa"/>
            <w:tcBorders>
              <w:top w:val="dotted" w:sz="4" w:space="0" w:color="auto"/>
              <w:bottom w:val="dotted" w:sz="4" w:space="0" w:color="auto"/>
            </w:tcBorders>
          </w:tcPr>
          <w:p w14:paraId="4BFF91FA" w14:textId="6CFB9C2F"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54</w:t>
            </w:r>
          </w:p>
        </w:tc>
        <w:tc>
          <w:tcPr>
            <w:tcW w:w="3765" w:type="dxa"/>
            <w:tcBorders>
              <w:top w:val="dotted" w:sz="4" w:space="0" w:color="auto"/>
              <w:bottom w:val="dotted" w:sz="4" w:space="0" w:color="auto"/>
            </w:tcBorders>
          </w:tcPr>
          <w:p w14:paraId="26900993" w14:textId="60EA6DA0"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Induced chondrocyte-derived small extracellular vesicles as a cell-free regenerative strategy for osteoarthritis</w:t>
            </w:r>
          </w:p>
        </w:tc>
        <w:tc>
          <w:tcPr>
            <w:tcW w:w="4054" w:type="dxa"/>
            <w:tcBorders>
              <w:top w:val="dotted" w:sz="4" w:space="0" w:color="auto"/>
              <w:bottom w:val="dotted" w:sz="4" w:space="0" w:color="auto"/>
            </w:tcBorders>
          </w:tcPr>
          <w:p w14:paraId="0D169471" w14:textId="76238024" w:rsidR="000001D2" w:rsidRPr="00CC3FFF" w:rsidRDefault="000001D2" w:rsidP="007D3CFB">
            <w:pPr>
              <w:adjustRightInd w:val="0"/>
              <w:snapToGrid w:val="0"/>
              <w:spacing w:line="260" w:lineRule="atLeast"/>
              <w:rPr>
                <w:rFonts w:ascii="Times New Roman" w:eastAsia="Times New Roman" w:hAnsi="Times New Roman" w:cs="Times New Roman"/>
                <w:bCs/>
                <w:iCs/>
                <w:sz w:val="16"/>
                <w:szCs w:val="16"/>
              </w:rPr>
            </w:pPr>
            <w:r w:rsidRPr="00CC3FFF">
              <w:rPr>
                <w:rFonts w:ascii="Times New Roman" w:eastAsia="Times New Roman" w:hAnsi="Times New Roman" w:cs="Times New Roman"/>
                <w:bCs/>
                <w:iCs/>
                <w:sz w:val="16"/>
                <w:szCs w:val="16"/>
              </w:rPr>
              <w:t xml:space="preserve">E. Rosselli, M. Balbi, J. Ekholm, </w:t>
            </w:r>
            <w:proofErr w:type="gramStart"/>
            <w:r w:rsidRPr="00CC3FFF">
              <w:rPr>
                <w:rFonts w:ascii="Times New Roman" w:eastAsia="Times New Roman" w:hAnsi="Times New Roman" w:cs="Times New Roman"/>
                <w:bCs/>
                <w:iCs/>
                <w:sz w:val="16"/>
                <w:szCs w:val="16"/>
              </w:rPr>
              <w:t>K.Vukusic</w:t>
            </w:r>
            <w:proofErr w:type="gramEnd"/>
            <w:r w:rsidRPr="00CC3FFF">
              <w:rPr>
                <w:rFonts w:ascii="Times New Roman" w:eastAsia="Times New Roman" w:hAnsi="Times New Roman" w:cs="Times New Roman"/>
                <w:bCs/>
                <w:iCs/>
                <w:sz w:val="16"/>
                <w:szCs w:val="16"/>
              </w:rPr>
              <w:t>, A. Lindahl, C. Gentili</w:t>
            </w:r>
          </w:p>
          <w:p w14:paraId="7ECC1980" w14:textId="3F431F5A" w:rsidR="000001D2" w:rsidRPr="00CC3FFF" w:rsidRDefault="000001D2" w:rsidP="00C31F2C">
            <w:pPr>
              <w:adjustRightInd w:val="0"/>
              <w:snapToGrid w:val="0"/>
              <w:spacing w:line="260" w:lineRule="atLeast"/>
              <w:rPr>
                <w:rFonts w:ascii="Times New Roman" w:eastAsia="Times New Roman" w:hAnsi="Times New Roman" w:cs="Times New Roman"/>
                <w:sz w:val="16"/>
                <w:szCs w:val="16"/>
              </w:rPr>
            </w:pPr>
          </w:p>
        </w:tc>
      </w:tr>
      <w:tr w:rsidR="000001D2" w:rsidRPr="00CC3FFF" w14:paraId="7BB474EE" w14:textId="77777777" w:rsidTr="000001D2">
        <w:tc>
          <w:tcPr>
            <w:tcW w:w="461" w:type="dxa"/>
            <w:tcBorders>
              <w:top w:val="dotted" w:sz="4" w:space="0" w:color="auto"/>
              <w:bottom w:val="dotted" w:sz="4" w:space="0" w:color="auto"/>
            </w:tcBorders>
          </w:tcPr>
          <w:p w14:paraId="0A77286B" w14:textId="3CBC52AF"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55</w:t>
            </w:r>
          </w:p>
        </w:tc>
        <w:tc>
          <w:tcPr>
            <w:tcW w:w="3765" w:type="dxa"/>
            <w:tcBorders>
              <w:top w:val="dotted" w:sz="4" w:space="0" w:color="auto"/>
              <w:bottom w:val="dotted" w:sz="4" w:space="0" w:color="auto"/>
            </w:tcBorders>
          </w:tcPr>
          <w:p w14:paraId="18565476" w14:textId="4514CF7F"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Mesenchymal stem cells shape vascularization and mineralization in the osteosarcoma tumor microenvironment</w:t>
            </w:r>
          </w:p>
        </w:tc>
        <w:tc>
          <w:tcPr>
            <w:tcW w:w="4054" w:type="dxa"/>
            <w:tcBorders>
              <w:top w:val="dotted" w:sz="4" w:space="0" w:color="auto"/>
              <w:bottom w:val="dotted" w:sz="4" w:space="0" w:color="auto"/>
            </w:tcBorders>
          </w:tcPr>
          <w:p w14:paraId="47461A71" w14:textId="62379927" w:rsidR="000001D2" w:rsidRPr="00CC3FFF" w:rsidRDefault="000001D2" w:rsidP="00506454">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F. Rossi, M. Pannella, M. Malgorzata Rydzyk, M. Fratini, E. Longo, C. Bellotti, M. Rossi, A. N. Guerrieri, C. Cappadone, L. Anconelli, V. Giusti, M. Torsello, S. Iotti, T. Ibrahim, E. Malucelli, E. Lucarelli</w:t>
            </w:r>
          </w:p>
          <w:p w14:paraId="42F2E033" w14:textId="006F0A96"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0FD9FE81" w14:textId="77777777" w:rsidTr="000001D2">
        <w:tc>
          <w:tcPr>
            <w:tcW w:w="461" w:type="dxa"/>
            <w:tcBorders>
              <w:top w:val="dotted" w:sz="4" w:space="0" w:color="auto"/>
              <w:bottom w:val="dotted" w:sz="4" w:space="0" w:color="auto"/>
            </w:tcBorders>
          </w:tcPr>
          <w:p w14:paraId="54F6CAC4" w14:textId="5B085284" w:rsidR="000001D2" w:rsidRPr="00CC3FFF" w:rsidRDefault="00216ECA" w:rsidP="00C31F2C">
            <w:pPr>
              <w:adjustRightInd w:val="0"/>
              <w:snapToGrid w:val="0"/>
              <w:spacing w:line="260" w:lineRule="atLeas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56</w:t>
            </w:r>
          </w:p>
        </w:tc>
        <w:tc>
          <w:tcPr>
            <w:tcW w:w="3765" w:type="dxa"/>
            <w:tcBorders>
              <w:top w:val="dotted" w:sz="4" w:space="0" w:color="auto"/>
              <w:bottom w:val="dotted" w:sz="4" w:space="0" w:color="auto"/>
            </w:tcBorders>
          </w:tcPr>
          <w:p w14:paraId="1ACDA83B" w14:textId="78E05820"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Rejuvenation of amniotic epithelial cells by epigenetic and antioxidant modulation</w:t>
            </w:r>
          </w:p>
        </w:tc>
        <w:tc>
          <w:tcPr>
            <w:tcW w:w="4054" w:type="dxa"/>
            <w:tcBorders>
              <w:top w:val="dotted" w:sz="4" w:space="0" w:color="auto"/>
              <w:bottom w:val="dotted" w:sz="4" w:space="0" w:color="auto"/>
            </w:tcBorders>
          </w:tcPr>
          <w:p w14:paraId="7F37AF0E" w14:textId="4DB43E2D" w:rsidR="000001D2" w:rsidRPr="00CC3FFF" w:rsidRDefault="000001D2" w:rsidP="00506454">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A. Sodomaco, F. Paris, A. Rambaldi, P. Marrazzo, A. Ognisanti, R. Costa, P. Lombardi, A. Cappellini, G. Simonazzi, S. Ratti, L. Manzoli, F. Alviano</w:t>
            </w:r>
          </w:p>
          <w:p w14:paraId="5EBBAFE8" w14:textId="6C5475CA"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3FDB8AC3" w14:textId="77777777" w:rsidTr="000001D2">
        <w:tc>
          <w:tcPr>
            <w:tcW w:w="461" w:type="dxa"/>
            <w:tcBorders>
              <w:top w:val="dotted" w:sz="4" w:space="0" w:color="auto"/>
              <w:bottom w:val="dotted" w:sz="4" w:space="0" w:color="auto"/>
            </w:tcBorders>
          </w:tcPr>
          <w:p w14:paraId="3905609F" w14:textId="450C804E" w:rsidR="000001D2" w:rsidRPr="00CC3FFF" w:rsidRDefault="00216ECA" w:rsidP="00C31F2C">
            <w:pPr>
              <w:adjustRightInd w:val="0"/>
              <w:snapToGrid w:val="0"/>
              <w:spacing w:line="260" w:lineRule="atLeas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57</w:t>
            </w:r>
          </w:p>
        </w:tc>
        <w:tc>
          <w:tcPr>
            <w:tcW w:w="3765" w:type="dxa"/>
            <w:tcBorders>
              <w:top w:val="dotted" w:sz="4" w:space="0" w:color="auto"/>
              <w:bottom w:val="dotted" w:sz="4" w:space="0" w:color="auto"/>
            </w:tcBorders>
          </w:tcPr>
          <w:p w14:paraId="1E5891B9" w14:textId="5C55DCE4"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Pro-differentiation conditions reduce pathogenic features of lung cancer cells in vitro</w:t>
            </w:r>
          </w:p>
        </w:tc>
        <w:tc>
          <w:tcPr>
            <w:tcW w:w="4054" w:type="dxa"/>
            <w:tcBorders>
              <w:top w:val="dotted" w:sz="4" w:space="0" w:color="auto"/>
              <w:bottom w:val="dotted" w:sz="4" w:space="0" w:color="auto"/>
            </w:tcBorders>
          </w:tcPr>
          <w:p w14:paraId="0FA098E6" w14:textId="6273CD83" w:rsidR="000001D2" w:rsidRPr="00CC3FFF" w:rsidRDefault="000001D2" w:rsidP="00F92592">
            <w:pPr>
              <w:adjustRightInd w:val="0"/>
              <w:snapToGrid w:val="0"/>
              <w:spacing w:line="260" w:lineRule="atLeast"/>
              <w:rPr>
                <w:rFonts w:ascii="Times New Roman" w:eastAsia="Times New Roman" w:hAnsi="Times New Roman" w:cs="Times New Roman"/>
                <w:bCs/>
                <w:iCs/>
                <w:sz w:val="16"/>
                <w:szCs w:val="16"/>
              </w:rPr>
            </w:pPr>
            <w:r w:rsidRPr="00CC3FFF">
              <w:rPr>
                <w:rFonts w:ascii="Times New Roman" w:eastAsia="Times New Roman" w:hAnsi="Times New Roman" w:cs="Times New Roman"/>
                <w:bCs/>
                <w:iCs/>
                <w:sz w:val="16"/>
                <w:szCs w:val="16"/>
              </w:rPr>
              <w:t>A. Grossi, V. Sottile</w:t>
            </w:r>
          </w:p>
          <w:p w14:paraId="46DB3781" w14:textId="63FD833D" w:rsidR="000001D2" w:rsidRPr="00CC3FFF" w:rsidRDefault="000001D2" w:rsidP="00C31F2C">
            <w:pPr>
              <w:adjustRightInd w:val="0"/>
              <w:snapToGrid w:val="0"/>
              <w:spacing w:line="260" w:lineRule="atLeast"/>
              <w:rPr>
                <w:rFonts w:ascii="Times New Roman" w:eastAsia="Times New Roman" w:hAnsi="Times New Roman" w:cs="Times New Roman"/>
                <w:sz w:val="16"/>
                <w:szCs w:val="16"/>
              </w:rPr>
            </w:pPr>
          </w:p>
        </w:tc>
      </w:tr>
      <w:tr w:rsidR="000001D2" w:rsidRPr="00CC3FFF" w14:paraId="57B52128" w14:textId="77777777" w:rsidTr="000001D2">
        <w:tc>
          <w:tcPr>
            <w:tcW w:w="461" w:type="dxa"/>
            <w:tcBorders>
              <w:top w:val="dotted" w:sz="4" w:space="0" w:color="auto"/>
              <w:bottom w:val="dotted" w:sz="4" w:space="0" w:color="auto"/>
            </w:tcBorders>
          </w:tcPr>
          <w:p w14:paraId="646724B8" w14:textId="6CE99289" w:rsidR="000001D2" w:rsidRPr="00CC3FFF" w:rsidRDefault="00216ECA" w:rsidP="00C31F2C">
            <w:pPr>
              <w:adjustRightInd w:val="0"/>
              <w:snapToGrid w:val="0"/>
              <w:spacing w:line="260" w:lineRule="atLeas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58</w:t>
            </w:r>
          </w:p>
        </w:tc>
        <w:tc>
          <w:tcPr>
            <w:tcW w:w="3765" w:type="dxa"/>
            <w:tcBorders>
              <w:top w:val="dotted" w:sz="4" w:space="0" w:color="auto"/>
              <w:bottom w:val="dotted" w:sz="4" w:space="0" w:color="auto"/>
            </w:tcBorders>
          </w:tcPr>
          <w:p w14:paraId="63F8846D" w14:textId="4304E58C" w:rsidR="000001D2" w:rsidRPr="00CC3FFF" w:rsidRDefault="000001D2" w:rsidP="00C31F2C">
            <w:pPr>
              <w:adjustRightInd w:val="0"/>
              <w:snapToGrid w:val="0"/>
              <w:spacing w:line="260" w:lineRule="atLeast"/>
              <w:rPr>
                <w:rFonts w:ascii="Times New Roman" w:eastAsia="Times New Roman" w:hAnsi="Times New Roman" w:cs="Times New Roman"/>
                <w:sz w:val="16"/>
                <w:szCs w:val="16"/>
              </w:rPr>
            </w:pPr>
            <w:r w:rsidRPr="00CC3FFF">
              <w:rPr>
                <w:rFonts w:ascii="Times New Roman" w:eastAsia="Times New Roman" w:hAnsi="Times New Roman" w:cs="Times New Roman"/>
                <w:sz w:val="16"/>
                <w:szCs w:val="16"/>
                <w:lang w:val="en-GB"/>
              </w:rPr>
              <w:t>MatRad-OIDS: an open-source tool for segmenting microscopy 3D images and extracting IBSI-compliant radiomic features.</w:t>
            </w:r>
          </w:p>
        </w:tc>
        <w:tc>
          <w:tcPr>
            <w:tcW w:w="4054" w:type="dxa"/>
            <w:tcBorders>
              <w:top w:val="dotted" w:sz="4" w:space="0" w:color="auto"/>
              <w:bottom w:val="dotted" w:sz="4" w:space="0" w:color="auto"/>
            </w:tcBorders>
          </w:tcPr>
          <w:p w14:paraId="4421DC7D" w14:textId="05665C20" w:rsidR="000001D2" w:rsidRPr="00CC3FFF" w:rsidRDefault="000001D2" w:rsidP="00F92592">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M. Stellato, G. Pasini, E. Missori, D. Remondini, M. Calvaruso, J. Pyun, N. Normanno, G. Castellani, F. Piccinini, A. Stefano</w:t>
            </w:r>
          </w:p>
          <w:p w14:paraId="4FFD44C7" w14:textId="18926B0F"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29E61C3F" w14:textId="77777777" w:rsidTr="000001D2">
        <w:tc>
          <w:tcPr>
            <w:tcW w:w="461" w:type="dxa"/>
            <w:tcBorders>
              <w:top w:val="dotted" w:sz="4" w:space="0" w:color="auto"/>
              <w:bottom w:val="dotted" w:sz="4" w:space="0" w:color="auto"/>
            </w:tcBorders>
          </w:tcPr>
          <w:p w14:paraId="5AC5D704" w14:textId="117D9F22" w:rsidR="000001D2" w:rsidRPr="00CC3FFF" w:rsidRDefault="00216ECA" w:rsidP="00C31F2C">
            <w:pPr>
              <w:adjustRightInd w:val="0"/>
              <w:snapToGrid w:val="0"/>
              <w:spacing w:line="260" w:lineRule="atLeas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59</w:t>
            </w:r>
          </w:p>
        </w:tc>
        <w:tc>
          <w:tcPr>
            <w:tcW w:w="3765" w:type="dxa"/>
            <w:tcBorders>
              <w:top w:val="dotted" w:sz="4" w:space="0" w:color="auto"/>
              <w:bottom w:val="dotted" w:sz="4" w:space="0" w:color="auto"/>
            </w:tcBorders>
          </w:tcPr>
          <w:p w14:paraId="72D6AC56" w14:textId="6F34EF13"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Isolation of mesenchymal stromal cells derived from human arteries: a focus on their regenerative features and cell to cell communication</w:t>
            </w:r>
          </w:p>
        </w:tc>
        <w:tc>
          <w:tcPr>
            <w:tcW w:w="4054" w:type="dxa"/>
            <w:tcBorders>
              <w:top w:val="dotted" w:sz="4" w:space="0" w:color="auto"/>
              <w:bottom w:val="dotted" w:sz="4" w:space="0" w:color="auto"/>
            </w:tcBorders>
          </w:tcPr>
          <w:p w14:paraId="309E510F" w14:textId="2E4FFDE1" w:rsidR="000001D2" w:rsidRPr="00CC3FFF" w:rsidRDefault="000001D2" w:rsidP="00F35CD7">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S. Valente, C. Ciavarella, F. Alviano, G. Pasquinelli</w:t>
            </w:r>
          </w:p>
        </w:tc>
      </w:tr>
      <w:tr w:rsidR="000001D2" w:rsidRPr="00CC3FFF" w14:paraId="60B81E8C" w14:textId="77777777" w:rsidTr="000001D2">
        <w:tc>
          <w:tcPr>
            <w:tcW w:w="461" w:type="dxa"/>
            <w:tcBorders>
              <w:top w:val="dotted" w:sz="4" w:space="0" w:color="auto"/>
              <w:bottom w:val="dotted" w:sz="4" w:space="0" w:color="auto"/>
            </w:tcBorders>
          </w:tcPr>
          <w:p w14:paraId="7BD66BC8" w14:textId="0453BF88" w:rsidR="000001D2" w:rsidRPr="00CC3FFF" w:rsidRDefault="00216ECA" w:rsidP="00C31F2C">
            <w:pPr>
              <w:adjustRightInd w:val="0"/>
              <w:snapToGrid w:val="0"/>
              <w:spacing w:line="260" w:lineRule="atLeas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60</w:t>
            </w:r>
          </w:p>
        </w:tc>
        <w:tc>
          <w:tcPr>
            <w:tcW w:w="3765" w:type="dxa"/>
            <w:tcBorders>
              <w:top w:val="dotted" w:sz="4" w:space="0" w:color="auto"/>
              <w:bottom w:val="dotted" w:sz="4" w:space="0" w:color="auto"/>
            </w:tcBorders>
          </w:tcPr>
          <w:p w14:paraId="6BF1E21F" w14:textId="186B0933"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MicroRNA-31- engineered extracellular vesicles as a target therapy for inflammatory bowel disease</w:t>
            </w:r>
          </w:p>
        </w:tc>
        <w:tc>
          <w:tcPr>
            <w:tcW w:w="4054" w:type="dxa"/>
            <w:tcBorders>
              <w:top w:val="dotted" w:sz="4" w:space="0" w:color="auto"/>
              <w:bottom w:val="dotted" w:sz="4" w:space="0" w:color="auto"/>
            </w:tcBorders>
          </w:tcPr>
          <w:p w14:paraId="4DDD7DA5" w14:textId="57A88FFC" w:rsidR="000001D2" w:rsidRPr="00CC3FFF" w:rsidRDefault="000001D2" w:rsidP="00F35CD7">
            <w:pPr>
              <w:adjustRightInd w:val="0"/>
              <w:snapToGrid w:val="0"/>
              <w:spacing w:line="260" w:lineRule="atLeast"/>
              <w:rPr>
                <w:rFonts w:ascii="Times New Roman" w:eastAsia="Times New Roman" w:hAnsi="Times New Roman" w:cs="Times New Roman"/>
                <w:bCs/>
                <w:iCs/>
                <w:sz w:val="16"/>
                <w:szCs w:val="16"/>
                <w:lang w:val="it-IT"/>
              </w:rPr>
            </w:pPr>
            <w:r w:rsidRPr="00CC3FFF">
              <w:rPr>
                <w:rFonts w:ascii="Times New Roman" w:eastAsia="Times New Roman" w:hAnsi="Times New Roman" w:cs="Times New Roman"/>
                <w:bCs/>
                <w:iCs/>
                <w:sz w:val="16"/>
                <w:szCs w:val="16"/>
                <w:lang w:val="it-IT"/>
              </w:rPr>
              <w:t>A. H. Dorigo Hochuli, A. Zaramella, M. Duci, P. Bisaccia, R. Moll-Diaz, M. Pozzobon</w:t>
            </w:r>
          </w:p>
          <w:p w14:paraId="397CB2E0" w14:textId="0EC8F14B"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it-IT"/>
              </w:rPr>
            </w:pPr>
          </w:p>
        </w:tc>
      </w:tr>
      <w:tr w:rsidR="000001D2" w:rsidRPr="00CC3FFF" w14:paraId="20CE8EFB" w14:textId="77777777" w:rsidTr="000001D2">
        <w:tc>
          <w:tcPr>
            <w:tcW w:w="461" w:type="dxa"/>
            <w:tcBorders>
              <w:top w:val="dotted" w:sz="4" w:space="0" w:color="auto"/>
              <w:bottom w:val="single" w:sz="4" w:space="0" w:color="auto"/>
            </w:tcBorders>
          </w:tcPr>
          <w:p w14:paraId="1278B8E7" w14:textId="784CB650" w:rsidR="000001D2" w:rsidRPr="00CC3FFF" w:rsidRDefault="00216ECA" w:rsidP="00C31F2C">
            <w:pPr>
              <w:adjustRightInd w:val="0"/>
              <w:snapToGrid w:val="0"/>
              <w:spacing w:line="260" w:lineRule="atLeast"/>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61</w:t>
            </w:r>
          </w:p>
        </w:tc>
        <w:tc>
          <w:tcPr>
            <w:tcW w:w="3765" w:type="dxa"/>
            <w:tcBorders>
              <w:top w:val="dotted" w:sz="4" w:space="0" w:color="auto"/>
              <w:bottom w:val="single" w:sz="4" w:space="0" w:color="auto"/>
            </w:tcBorders>
          </w:tcPr>
          <w:p w14:paraId="3C5A39CE" w14:textId="3F869081" w:rsidR="000001D2" w:rsidRPr="00CC3FFF" w:rsidRDefault="000001D2" w:rsidP="00C31F2C">
            <w:pPr>
              <w:adjustRightInd w:val="0"/>
              <w:snapToGrid w:val="0"/>
              <w:spacing w:line="260" w:lineRule="atLeast"/>
              <w:rPr>
                <w:rFonts w:ascii="Times New Roman" w:eastAsia="Times New Roman" w:hAnsi="Times New Roman" w:cs="Times New Roman"/>
                <w:sz w:val="16"/>
                <w:szCs w:val="16"/>
                <w:lang w:val="en-GB"/>
              </w:rPr>
            </w:pPr>
            <w:r w:rsidRPr="00CC3FFF">
              <w:rPr>
                <w:rFonts w:ascii="Times New Roman" w:eastAsia="Times New Roman" w:hAnsi="Times New Roman" w:cs="Times New Roman"/>
                <w:sz w:val="16"/>
                <w:szCs w:val="16"/>
                <w:lang w:val="en-GB"/>
              </w:rPr>
              <w:t>Celector label-free microfluidic technology enables quality control and mesenchymal enrichment of fetal membrane stem cell subpopulations</w:t>
            </w:r>
          </w:p>
        </w:tc>
        <w:tc>
          <w:tcPr>
            <w:tcW w:w="4054" w:type="dxa"/>
            <w:tcBorders>
              <w:top w:val="dotted" w:sz="4" w:space="0" w:color="auto"/>
              <w:bottom w:val="single" w:sz="4" w:space="0" w:color="auto"/>
            </w:tcBorders>
          </w:tcPr>
          <w:p w14:paraId="6C685D0A" w14:textId="2BD4371F" w:rsidR="000001D2" w:rsidRPr="00CC3FFF" w:rsidRDefault="000001D2" w:rsidP="009E2372">
            <w:pPr>
              <w:adjustRightInd w:val="0"/>
              <w:snapToGrid w:val="0"/>
              <w:spacing w:line="260" w:lineRule="atLeast"/>
              <w:rPr>
                <w:rFonts w:ascii="Times New Roman" w:eastAsia="Times New Roman" w:hAnsi="Times New Roman" w:cs="Times New Roman"/>
                <w:sz w:val="16"/>
                <w:szCs w:val="16"/>
                <w:lang w:val="it-IT"/>
              </w:rPr>
            </w:pPr>
            <w:r w:rsidRPr="00CC3FFF">
              <w:rPr>
                <w:rFonts w:ascii="Times New Roman" w:eastAsia="Times New Roman" w:hAnsi="Times New Roman" w:cs="Times New Roman"/>
                <w:bCs/>
                <w:iCs/>
                <w:sz w:val="16"/>
                <w:szCs w:val="16"/>
                <w:lang w:val="it-IT"/>
              </w:rPr>
              <w:t>S. Zia, C. Gamberini, F. Paris, P. Marrazzo, P. Lombardi, S. Ratti, A. Zattoni, P. Reschiglian, B. Roda, F. Alviano</w:t>
            </w:r>
          </w:p>
        </w:tc>
      </w:tr>
    </w:tbl>
    <w:p w14:paraId="7A888904" w14:textId="77777777" w:rsidR="00625018" w:rsidRPr="00CC3FFF" w:rsidRDefault="00625018">
      <w:pPr>
        <w:adjustRightInd w:val="0"/>
        <w:snapToGrid w:val="0"/>
        <w:spacing w:line="260" w:lineRule="atLeast"/>
        <w:rPr>
          <w:rFonts w:ascii="Times New Roman" w:hAnsi="Times New Roman" w:cs="Times New Roman"/>
          <w:sz w:val="20"/>
          <w:szCs w:val="20"/>
          <w:lang w:val="it-IT"/>
        </w:rPr>
      </w:pPr>
    </w:p>
    <w:p w14:paraId="73AA70E9" w14:textId="6AA1FD36" w:rsidR="002F3D70" w:rsidRPr="00CC3FFF" w:rsidRDefault="001604DA" w:rsidP="002F3D70">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lang w:val="it-IT"/>
        </w:rPr>
        <w:t xml:space="preserve">1. </w:t>
      </w:r>
      <w:r w:rsidR="00C15BA3" w:rsidRPr="00CC3FFF">
        <w:rPr>
          <w:rFonts w:ascii="Times New Roman" w:hAnsi="Times New Roman" w:cs="Times New Roman"/>
          <w:b/>
          <w:bCs/>
          <w:iCs/>
          <w:caps/>
          <w:sz w:val="20"/>
          <w:szCs w:val="18"/>
          <w:lang w:val="it-IT"/>
        </w:rPr>
        <w:t>Equine osteoarthritis-related microRNA analysis in extracellular vesicles from horse mesenchymal stromal cells: a preli</w:t>
      </w:r>
      <w:r w:rsidR="00C15BA3" w:rsidRPr="00CC3FFF">
        <w:rPr>
          <w:rFonts w:ascii="Times New Roman" w:hAnsi="Times New Roman" w:cs="Times New Roman"/>
          <w:b/>
          <w:bCs/>
          <w:iCs/>
          <w:caps/>
          <w:sz w:val="20"/>
          <w:szCs w:val="18"/>
        </w:rPr>
        <w:t>minary investigation</w:t>
      </w:r>
      <w:r w:rsidR="002F3D70" w:rsidRPr="00CC3FFF">
        <w:rPr>
          <w:rFonts w:ascii="Times New Roman" w:hAnsi="Times New Roman" w:cs="Times New Roman"/>
          <w:b/>
          <w:bCs/>
          <w:iCs/>
          <w:sz w:val="20"/>
          <w:szCs w:val="18"/>
        </w:rPr>
        <w:t xml:space="preserve"> </w:t>
      </w:r>
    </w:p>
    <w:p w14:paraId="6CBAA170" w14:textId="77777777" w:rsidR="002F3D70" w:rsidRPr="00CC3FFF" w:rsidRDefault="002F3D70" w:rsidP="002F3D70">
      <w:pPr>
        <w:adjustRightInd w:val="0"/>
        <w:snapToGrid w:val="0"/>
        <w:spacing w:line="260" w:lineRule="atLeast"/>
        <w:rPr>
          <w:rFonts w:ascii="Times New Roman" w:hAnsi="Times New Roman" w:cs="Times New Roman"/>
          <w:bCs/>
          <w:iCs/>
          <w:sz w:val="20"/>
          <w:szCs w:val="18"/>
        </w:rPr>
      </w:pPr>
    </w:p>
    <w:p w14:paraId="25C89C94" w14:textId="03A9F984" w:rsidR="002F3D70" w:rsidRPr="00CC3FFF" w:rsidRDefault="00C15BA3" w:rsidP="00C15BA3">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F. Allemanno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S. Miretti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P. Accornero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I. Manenti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E. Martignani</w:t>
      </w:r>
      <w:r w:rsidRPr="00CC3FFF">
        <w:rPr>
          <w:rFonts w:ascii="Times New Roman" w:hAnsi="Times New Roman" w:cs="Times New Roman"/>
          <w:bCs/>
          <w:iCs/>
          <w:sz w:val="20"/>
          <w:szCs w:val="18"/>
          <w:vertAlign w:val="superscript"/>
          <w:lang w:val="it-IT"/>
        </w:rPr>
        <w:t>1</w:t>
      </w:r>
    </w:p>
    <w:p w14:paraId="5176CB6C" w14:textId="77777777" w:rsidR="002F3D70" w:rsidRPr="00CC3FFF" w:rsidRDefault="002F3D70" w:rsidP="002F3D70">
      <w:pPr>
        <w:adjustRightInd w:val="0"/>
        <w:snapToGrid w:val="0"/>
        <w:spacing w:line="260" w:lineRule="atLeast"/>
        <w:rPr>
          <w:rFonts w:ascii="Times New Roman" w:hAnsi="Times New Roman" w:cs="Times New Roman"/>
          <w:bCs/>
          <w:iCs/>
          <w:sz w:val="20"/>
          <w:szCs w:val="18"/>
          <w:lang w:val="it-IT"/>
        </w:rPr>
      </w:pPr>
    </w:p>
    <w:p w14:paraId="5566D33D" w14:textId="162D42A3" w:rsidR="002F3D70" w:rsidRPr="00CC3FFF" w:rsidRDefault="002F3D70" w:rsidP="002F3D7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00C15BA3" w:rsidRPr="00CC3FFF">
        <w:rPr>
          <w:rFonts w:ascii="Times New Roman" w:hAnsi="Times New Roman" w:cs="Times New Roman"/>
          <w:bCs/>
          <w:iCs/>
          <w:sz w:val="20"/>
          <w:szCs w:val="18"/>
        </w:rPr>
        <w:t>Department of Veterinary Sciences, University of Turin, Grugliasco, Italy</w:t>
      </w:r>
    </w:p>
    <w:p w14:paraId="3E5ED91E" w14:textId="77777777" w:rsidR="002F3D70" w:rsidRPr="00CC3FFF" w:rsidRDefault="002F3D70" w:rsidP="002F3D70">
      <w:pPr>
        <w:adjustRightInd w:val="0"/>
        <w:snapToGrid w:val="0"/>
        <w:spacing w:line="260" w:lineRule="atLeast"/>
        <w:rPr>
          <w:rFonts w:ascii="Times New Roman" w:hAnsi="Times New Roman" w:cs="Times New Roman"/>
          <w:bCs/>
          <w:iCs/>
          <w:sz w:val="20"/>
          <w:szCs w:val="18"/>
        </w:rPr>
      </w:pPr>
    </w:p>
    <w:p w14:paraId="6F58BA86" w14:textId="4F4CFA90" w:rsidR="00C15BA3" w:rsidRPr="00CC3FFF" w:rsidRDefault="00C15BA3" w:rsidP="00C15BA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Objective</w:t>
      </w:r>
      <w:r w:rsidRPr="00CC3FFF">
        <w:rPr>
          <w:rFonts w:ascii="Times New Roman" w:hAnsi="Times New Roman" w:cs="Times New Roman"/>
          <w:bCs/>
          <w:iCs/>
          <w:sz w:val="20"/>
          <w:szCs w:val="18"/>
        </w:rPr>
        <w:t xml:space="preserve">: Osteoarthritis (OA) represents the most common cause of retirement from athletic activities in horses. As current pharmacological treatments can alleviate clinical symptoms, but lack regenerative </w:t>
      </w:r>
      <w:r w:rsidRPr="00CC3FFF">
        <w:rPr>
          <w:rFonts w:ascii="Times New Roman" w:hAnsi="Times New Roman" w:cs="Times New Roman"/>
          <w:bCs/>
          <w:iCs/>
          <w:sz w:val="20"/>
          <w:szCs w:val="18"/>
        </w:rPr>
        <w:lastRenderedPageBreak/>
        <w:t>effects on damaged cartilages, extracellular vesicles (EVs) derived from mesenchymal stromal cells (MSCs) have emerged as a promising alternative. A relevant EVs’ cargo is represented by microRNAs (miRNAs), significant post-transcriptional gene regulators that can fully or partially regulate mRNAs, and whose gene expression can be modulated by the surrounding extracellular microenvironment. As further research is needed to explore their role in EVs and how MSC preconditioning influences them, the</w:t>
      </w:r>
    </w:p>
    <w:p w14:paraId="0EB72706" w14:textId="1C4E9DA2" w:rsidR="00C15BA3" w:rsidRPr="00CC3FFF" w:rsidRDefault="00C15BA3" w:rsidP="00C15BA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aim of this study was to establish optimized protocols for miRNA extraction and RT-qPCR analysis for characterizing EVs secreted by horse MSCs, allowing the future assessment of miRNA expression changes under different extracellular environment conditions in the context of equine OA.</w:t>
      </w:r>
    </w:p>
    <w:p w14:paraId="73CD5616" w14:textId="46F61042" w:rsidR="00C15BA3" w:rsidRPr="00CC3FFF" w:rsidRDefault="00C15BA3" w:rsidP="00C15BA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Materials and Methods</w:t>
      </w:r>
      <w:r w:rsidRPr="00CC3FFF">
        <w:rPr>
          <w:rFonts w:ascii="Times New Roman" w:hAnsi="Times New Roman" w:cs="Times New Roman"/>
          <w:bCs/>
          <w:iCs/>
          <w:sz w:val="20"/>
          <w:szCs w:val="18"/>
        </w:rPr>
        <w:t>: Previously obtained MSCs derived from bone marrow and fat tissue (3 healthy horses), were cultured under standard conditions. EVs were isolated via ultracentrifugation and characterized for size distribution and concentration through Nanoparticle Tracking Analysis. In parallel, a literature analysis was performed to identify a panel of miRNAs linked to the inflammatory response of OA. MiRNAs were therefore extracted from isolated EVs and amplified through RT-qPCR, and the expression of miRNAs selected from literature was evaluated.</w:t>
      </w:r>
    </w:p>
    <w:p w14:paraId="63422D89" w14:textId="243CCF1B" w:rsidR="00C15BA3" w:rsidRPr="00CC3FFF" w:rsidRDefault="00C15BA3" w:rsidP="00C15BA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MSC-derived EVs were successfully isolated, with a concentration mean of 2,57 x 10</w:t>
      </w:r>
      <w:r w:rsidRPr="00CC3FFF">
        <w:rPr>
          <w:rFonts w:ascii="Times New Roman" w:hAnsi="Times New Roman" w:cs="Times New Roman"/>
          <w:bCs/>
          <w:iCs/>
          <w:sz w:val="20"/>
          <w:szCs w:val="18"/>
          <w:vertAlign w:val="superscript"/>
        </w:rPr>
        <w:t>10</w:t>
      </w:r>
      <w:r w:rsidRPr="00CC3FFF">
        <w:rPr>
          <w:rFonts w:ascii="Times New Roman" w:hAnsi="Times New Roman" w:cs="Times New Roman"/>
          <w:bCs/>
          <w:iCs/>
          <w:sz w:val="20"/>
          <w:szCs w:val="18"/>
        </w:rPr>
        <w:t xml:space="preserve"> particles/mL and a size mean of 139,40 nm. Extracted miRNAs showed a concentration ranging from 0,705 to 4,48 ng/µL. Moreover, nine out of the 23 miRNAs linked to OA from literature were detected through RT-qPCR.</w:t>
      </w:r>
    </w:p>
    <w:p w14:paraId="64766E0A" w14:textId="5C95D1B1" w:rsidR="002F3D70" w:rsidRPr="00CC3FFF" w:rsidRDefault="00C15BA3" w:rsidP="00C15BA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This preliminary investigation demonstrates the presence of miRNAs associated with the inflammatory process of OA within extracellular vesicles derived from equine MSCs under standard culture conditions. Indeed, miRNAs were extracted and detected through RT-qPCR in all samples, thus allowing for testing the miRNA-panel across different culture conditions with the future aim of better understanding the role of EVs as mediators in the crosstalk between MSCs and target cells.</w:t>
      </w:r>
    </w:p>
    <w:p w14:paraId="234C69F1" w14:textId="2B8A0555" w:rsidR="00EF4EFE" w:rsidRPr="00CC3FFF" w:rsidRDefault="00EF4EFE" w:rsidP="002F3D70">
      <w:pPr>
        <w:adjustRightInd w:val="0"/>
        <w:snapToGrid w:val="0"/>
        <w:spacing w:line="260" w:lineRule="atLeast"/>
        <w:rPr>
          <w:rFonts w:ascii="Times New Roman" w:hAnsi="Times New Roman" w:cs="Times New Roman"/>
          <w:bCs/>
          <w:iCs/>
          <w:sz w:val="20"/>
          <w:szCs w:val="18"/>
        </w:rPr>
      </w:pPr>
    </w:p>
    <w:p w14:paraId="444E8938" w14:textId="533E36FA" w:rsidR="00EF4EFE" w:rsidRPr="00CC3FFF" w:rsidRDefault="001604DA" w:rsidP="00EF4EFE">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 xml:space="preserve">2. </w:t>
      </w:r>
      <w:r w:rsidR="00624A12" w:rsidRPr="00CC3FFF">
        <w:rPr>
          <w:rFonts w:ascii="Times New Roman" w:hAnsi="Times New Roman" w:cs="Times New Roman"/>
          <w:b/>
          <w:bCs/>
          <w:iCs/>
          <w:caps/>
          <w:sz w:val="20"/>
          <w:szCs w:val="18"/>
        </w:rPr>
        <w:t>Effect of equine mesenchymal stromal/stem cell secretome on equine oocyte nuclear maturation</w:t>
      </w:r>
    </w:p>
    <w:p w14:paraId="13F3079B" w14:textId="77777777" w:rsidR="00EF4EFE" w:rsidRPr="00CC3FFF" w:rsidRDefault="00EF4EFE" w:rsidP="00EF4EFE">
      <w:pPr>
        <w:adjustRightInd w:val="0"/>
        <w:snapToGrid w:val="0"/>
        <w:spacing w:line="260" w:lineRule="atLeast"/>
        <w:rPr>
          <w:rFonts w:ascii="Times New Roman" w:hAnsi="Times New Roman" w:cs="Times New Roman"/>
          <w:bCs/>
          <w:iCs/>
          <w:sz w:val="20"/>
          <w:szCs w:val="18"/>
        </w:rPr>
      </w:pPr>
    </w:p>
    <w:p w14:paraId="6D778C1D" w14:textId="78453FB1" w:rsidR="00EF4EFE" w:rsidRPr="00CC3FFF" w:rsidRDefault="00624A12" w:rsidP="00EF4EFE">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E. Attolini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B. Siri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A. Capone</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E. Iacono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B. Merlo</w:t>
      </w:r>
      <w:r w:rsidRPr="00CC3FFF">
        <w:rPr>
          <w:rFonts w:ascii="Times New Roman" w:hAnsi="Times New Roman" w:cs="Times New Roman"/>
          <w:bCs/>
          <w:iCs/>
          <w:sz w:val="20"/>
          <w:szCs w:val="18"/>
          <w:vertAlign w:val="superscript"/>
          <w:lang w:val="it-IT"/>
        </w:rPr>
        <w:t>1</w:t>
      </w:r>
    </w:p>
    <w:p w14:paraId="2ABC7F7C" w14:textId="77777777" w:rsidR="00EF4EFE" w:rsidRPr="00CC3FFF" w:rsidRDefault="00EF4EFE" w:rsidP="00EF4EFE">
      <w:pPr>
        <w:adjustRightInd w:val="0"/>
        <w:snapToGrid w:val="0"/>
        <w:spacing w:line="260" w:lineRule="atLeast"/>
        <w:rPr>
          <w:rFonts w:ascii="Times New Roman" w:hAnsi="Times New Roman" w:cs="Times New Roman"/>
          <w:bCs/>
          <w:iCs/>
          <w:sz w:val="20"/>
          <w:szCs w:val="18"/>
          <w:lang w:val="it-IT"/>
        </w:rPr>
      </w:pPr>
    </w:p>
    <w:p w14:paraId="6E4F630D" w14:textId="39054486" w:rsidR="00EF4EFE" w:rsidRPr="00CC3FFF" w:rsidRDefault="00EF4EFE" w:rsidP="00624A12">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00624A12" w:rsidRPr="00CC3FFF">
        <w:rPr>
          <w:rFonts w:ascii="Times New Roman" w:hAnsi="Times New Roman" w:cs="Times New Roman"/>
          <w:bCs/>
          <w:iCs/>
          <w:sz w:val="20"/>
          <w:szCs w:val="18"/>
        </w:rPr>
        <w:t>Department of Veterinary Medical Sciences, University of Bologna, Ozzano Emilia, Italy</w:t>
      </w:r>
    </w:p>
    <w:p w14:paraId="79DE1804" w14:textId="77777777" w:rsidR="00624A12" w:rsidRPr="00CC3FFF" w:rsidRDefault="00624A12" w:rsidP="00624A12">
      <w:pPr>
        <w:adjustRightInd w:val="0"/>
        <w:snapToGrid w:val="0"/>
        <w:spacing w:line="260" w:lineRule="atLeast"/>
        <w:rPr>
          <w:rFonts w:ascii="Times New Roman" w:hAnsi="Times New Roman" w:cs="Times New Roman"/>
          <w:bCs/>
          <w:iCs/>
          <w:sz w:val="20"/>
          <w:szCs w:val="18"/>
        </w:rPr>
      </w:pPr>
    </w:p>
    <w:p w14:paraId="7B4E3745" w14:textId="0D930499" w:rsidR="00624A12" w:rsidRPr="00CC3FFF" w:rsidRDefault="00624A12" w:rsidP="00624A12">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OBJECTIVE: This study aimed to assess the effect of conditioned medium derived from equine Wharton’s jelly mesenchymal stromal/stem cells (eWJ-MSC-CM) on equine oocyte nuclear maturation.</w:t>
      </w:r>
    </w:p>
    <w:p w14:paraId="08306F77" w14:textId="6C912057" w:rsidR="00624A12" w:rsidRPr="00CC3FFF" w:rsidRDefault="00624A12" w:rsidP="00624A12">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MATERIALS AND METHODS: eWJ was collected from umbilical cords obtained after physiological parturition from three healthy mares. MSCs were isolated by enzymatic digestion, expanded, characterized and cryopreserved. For CM production, eWJ-MSCs were thawed, plated and expanded in DMEM/F12 with 10% FBS until 90% confluence. Cells were then washed three times with DPBS, and the culture medium was replaced with serum-free DMEM/F-12. After 6 h of incubation, the CM was collected and centrifuged to remove cellular debris. The resulting supernatant was collected as eWJ-MSC-CM. Equine cumulus-oocyte complexes (COCs) were collected by aspiration from follicles of abattoir-derived ovaries. Compact COCs were selected and randomly allocated to two IVM groups: FBS (n = 105) or CM (n = 102), using a basal DMEM/F12-based IVM medium supplemented with 10% FBS or CM, respectively. After 20 h or 26 h, COCs were denuded, stained with 10 μg/mL bisbenzimide (Hoechst 33342), and examined under an epifluorescence microscope to assess the nuclear maturation. The experiment was done in 5 replicates. Data were analysed using a binomial generalized linear model (GLM) with logit link and Wald pairwise tests (IBM SPSS Statistics 29), with significance set at P&lt;0.05. Cells from all samples were adherent to plastic and exhibited a fibroblast-like morphology. Tri-lineage in vitro differentiation was successful, and RT-PCR confirmed the expression of specific surface markers (positive for CD73, CD90, and MHC-I; negative for CD45, CD34, and MHC-II).</w:t>
      </w:r>
    </w:p>
    <w:p w14:paraId="3DFC5452" w14:textId="34A06D04" w:rsidR="00624A12" w:rsidRPr="00CC3FFF" w:rsidRDefault="00624A12" w:rsidP="00624A12">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 xml:space="preserve">RESULTS: In all samples, eWJ-MSCs remained viable and adherent after 6 h of conditioning in serum-free medium, with only a few detached cells and no evident signs of cellular distress. Both the FBS and CM groups showed significantly higher (P &lt; 0.05) maturation rates after 26 h of IVM (35% and 54.9%, </w:t>
      </w:r>
      <w:r w:rsidRPr="00CC3FFF">
        <w:rPr>
          <w:rFonts w:ascii="Times New Roman" w:hAnsi="Times New Roman" w:cs="Times New Roman"/>
          <w:bCs/>
          <w:iCs/>
          <w:sz w:val="20"/>
          <w:szCs w:val="18"/>
        </w:rPr>
        <w:lastRenderedPageBreak/>
        <w:t>respectively) compared with 20 h (14.8% and 26.7%, respectively), with only a trend (P = 0.069) toward an improved maturation rate in the CM group at the same time point. Degeneration rates did not differ between experimental groups or across incubation times.</w:t>
      </w:r>
    </w:p>
    <w:p w14:paraId="68FB5DD3" w14:textId="4805305A" w:rsidR="00EF4EFE" w:rsidRPr="00CC3FFF" w:rsidRDefault="00624A12" w:rsidP="00624A12">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CONCLUSIONS: eWJ-MSC-CM appears to be a promising alternative to FBS, although further studies are needed to evaluate its effects on embryo development.</w:t>
      </w:r>
    </w:p>
    <w:p w14:paraId="6AECEB2A" w14:textId="2ACD357F" w:rsidR="004572A6" w:rsidRPr="00CC3FFF" w:rsidRDefault="004572A6" w:rsidP="00EF4EFE">
      <w:pPr>
        <w:adjustRightInd w:val="0"/>
        <w:snapToGrid w:val="0"/>
        <w:spacing w:line="260" w:lineRule="atLeast"/>
        <w:rPr>
          <w:rFonts w:ascii="Times New Roman" w:hAnsi="Times New Roman" w:cs="Times New Roman"/>
          <w:bCs/>
          <w:iCs/>
          <w:sz w:val="20"/>
          <w:szCs w:val="18"/>
        </w:rPr>
      </w:pPr>
    </w:p>
    <w:p w14:paraId="7CD74C9B" w14:textId="74476275" w:rsidR="004572A6" w:rsidRPr="00CC3FFF" w:rsidRDefault="001604DA" w:rsidP="004572A6">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
          <w:bCs/>
          <w:iCs/>
          <w:sz w:val="20"/>
          <w:szCs w:val="18"/>
        </w:rPr>
        <w:t xml:space="preserve">3. </w:t>
      </w:r>
      <w:r w:rsidR="009C617C" w:rsidRPr="00CC3FFF">
        <w:rPr>
          <w:rFonts w:ascii="Times New Roman" w:hAnsi="Times New Roman" w:cs="Times New Roman"/>
          <w:b/>
          <w:bCs/>
          <w:iCs/>
          <w:caps/>
          <w:sz w:val="20"/>
          <w:szCs w:val="18"/>
        </w:rPr>
        <w:t>Decellularized and lyophilized dermal scaffolds loaded with the lyosecretome of mesenchymal stem cells for skin regeneration</w:t>
      </w:r>
    </w:p>
    <w:p w14:paraId="6AA2E3B2" w14:textId="77777777" w:rsidR="004572A6" w:rsidRPr="00CC3FFF" w:rsidRDefault="004572A6" w:rsidP="004572A6">
      <w:pPr>
        <w:adjustRightInd w:val="0"/>
        <w:snapToGrid w:val="0"/>
        <w:spacing w:line="260" w:lineRule="atLeast"/>
        <w:rPr>
          <w:rFonts w:ascii="Times New Roman" w:hAnsi="Times New Roman" w:cs="Times New Roman"/>
          <w:bCs/>
          <w:iCs/>
          <w:sz w:val="20"/>
          <w:szCs w:val="18"/>
        </w:rPr>
      </w:pPr>
    </w:p>
    <w:p w14:paraId="06061A94" w14:textId="1A4D1C59" w:rsidR="004572A6" w:rsidRPr="00CC3FFF" w:rsidRDefault="009C617C" w:rsidP="004572A6">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E. Bari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C. Tosca</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S. Turi</w:t>
      </w:r>
      <w:r w:rsidRPr="00CC3FFF">
        <w:rPr>
          <w:rFonts w:ascii="Times New Roman" w:hAnsi="Times New Roman" w:cs="Times New Roman"/>
          <w:bCs/>
          <w:iCs/>
          <w:sz w:val="20"/>
          <w:szCs w:val="18"/>
          <w:vertAlign w:val="superscript"/>
          <w:lang w:val="it-IT"/>
        </w:rPr>
        <w:t>3,4</w:t>
      </w:r>
      <w:r w:rsidRPr="00CC3FFF">
        <w:rPr>
          <w:rFonts w:ascii="Times New Roman" w:hAnsi="Times New Roman" w:cs="Times New Roman"/>
          <w:bCs/>
          <w:iCs/>
          <w:sz w:val="20"/>
          <w:szCs w:val="18"/>
          <w:lang w:val="it-IT"/>
        </w:rPr>
        <w:t>, D. Lim</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A. Modena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E</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Bertania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Segale</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Giovannelli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I</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Miletto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I</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R</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Renzulli</w:t>
      </w:r>
      <w:r w:rsidRPr="00CC3FFF">
        <w:rPr>
          <w:rFonts w:ascii="Times New Roman" w:hAnsi="Times New Roman" w:cs="Times New Roman"/>
          <w:bCs/>
          <w:iCs/>
          <w:sz w:val="20"/>
          <w:szCs w:val="18"/>
          <w:vertAlign w:val="superscript"/>
          <w:lang w:val="it-IT"/>
        </w:rPr>
        <w:t>5</w:t>
      </w:r>
      <w:r w:rsidRPr="00CC3FFF">
        <w:rPr>
          <w:rFonts w:ascii="Times New Roman" w:hAnsi="Times New Roman" w:cs="Times New Roman"/>
          <w:bCs/>
          <w:iCs/>
          <w:sz w:val="20"/>
          <w:szCs w:val="18"/>
          <w:lang w:val="it-IT"/>
        </w:rPr>
        <w:t>, R</w:t>
      </w:r>
      <w:r w:rsidR="00351228" w:rsidRPr="00CC3FFF">
        <w:rPr>
          <w:rFonts w:ascii="Times New Roman" w:hAnsi="Times New Roman" w:cs="Times New Roman"/>
          <w:bCs/>
          <w:iCs/>
          <w:sz w:val="20"/>
          <w:szCs w:val="18"/>
          <w:lang w:val="it-IT"/>
        </w:rPr>
        <w:t xml:space="preserve">. </w:t>
      </w:r>
      <w:r w:rsidRPr="00CC3FFF">
        <w:rPr>
          <w:rFonts w:ascii="Times New Roman" w:hAnsi="Times New Roman" w:cs="Times New Roman"/>
          <w:bCs/>
          <w:iCs/>
          <w:sz w:val="20"/>
          <w:szCs w:val="18"/>
          <w:lang w:val="it-IT"/>
        </w:rPr>
        <w:t>Rossi</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P</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Mauri</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D</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Di Silvestre</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G</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Sesana</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L</w:t>
      </w:r>
      <w:r w:rsidR="00351228" w:rsidRPr="00CC3FFF">
        <w:rPr>
          <w:rFonts w:ascii="Times New Roman" w:hAnsi="Times New Roman" w:cs="Times New Roman"/>
          <w:bCs/>
          <w:iCs/>
          <w:sz w:val="20"/>
          <w:szCs w:val="18"/>
          <w:lang w:val="it-IT"/>
        </w:rPr>
        <w:t>.</w:t>
      </w:r>
      <w:r w:rsidRPr="00CC3FFF">
        <w:rPr>
          <w:rFonts w:ascii="Times New Roman" w:hAnsi="Times New Roman" w:cs="Times New Roman"/>
          <w:bCs/>
          <w:iCs/>
          <w:sz w:val="20"/>
          <w:szCs w:val="18"/>
          <w:lang w:val="it-IT"/>
        </w:rPr>
        <w:t xml:space="preserve"> Torre</w:t>
      </w:r>
      <w:r w:rsidRPr="00CC3FFF">
        <w:rPr>
          <w:rFonts w:ascii="Times New Roman" w:hAnsi="Times New Roman" w:cs="Times New Roman"/>
          <w:bCs/>
          <w:iCs/>
          <w:sz w:val="20"/>
          <w:szCs w:val="18"/>
          <w:vertAlign w:val="superscript"/>
          <w:lang w:val="it-IT"/>
        </w:rPr>
        <w:t>1,6</w:t>
      </w:r>
    </w:p>
    <w:p w14:paraId="33365D5C" w14:textId="77777777" w:rsidR="004572A6" w:rsidRPr="00CC3FFF" w:rsidRDefault="004572A6" w:rsidP="004572A6">
      <w:pPr>
        <w:adjustRightInd w:val="0"/>
        <w:snapToGrid w:val="0"/>
        <w:spacing w:line="260" w:lineRule="atLeast"/>
        <w:rPr>
          <w:rFonts w:ascii="Times New Roman" w:hAnsi="Times New Roman" w:cs="Times New Roman"/>
          <w:bCs/>
          <w:iCs/>
          <w:sz w:val="20"/>
          <w:szCs w:val="18"/>
          <w:lang w:val="it-IT"/>
        </w:rPr>
      </w:pPr>
    </w:p>
    <w:p w14:paraId="06AEB64D" w14:textId="5C99443F" w:rsidR="00351228" w:rsidRPr="00CC3FFF" w:rsidRDefault="00351228" w:rsidP="0035122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Pr="00CC3FFF">
        <w:rPr>
          <w:rFonts w:ascii="Times New Roman" w:hAnsi="Times New Roman" w:cs="Times New Roman"/>
          <w:bCs/>
          <w:iCs/>
          <w:sz w:val="20"/>
          <w:szCs w:val="18"/>
        </w:rPr>
        <w:t>Dep</w:t>
      </w:r>
      <w:r w:rsidR="005D7278"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Pharmaceutical Sciences, University of Piemonte Orientale, Novara, I</w:t>
      </w:r>
      <w:r w:rsidR="00EE5F9C">
        <w:rPr>
          <w:rFonts w:ascii="Times New Roman" w:hAnsi="Times New Roman" w:cs="Times New Roman"/>
          <w:bCs/>
          <w:iCs/>
          <w:sz w:val="20"/>
          <w:szCs w:val="18"/>
        </w:rPr>
        <w:t>taly</w:t>
      </w:r>
    </w:p>
    <w:p w14:paraId="77946809" w14:textId="5BAC63E6" w:rsidR="00351228" w:rsidRPr="00CC3FFF" w:rsidRDefault="00351228" w:rsidP="00351228">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Grande Ospedale Metropolitano Niguarda, Milano, I</w:t>
      </w:r>
      <w:r w:rsidR="00EE5F9C">
        <w:rPr>
          <w:rFonts w:ascii="Times New Roman" w:hAnsi="Times New Roman" w:cs="Times New Roman"/>
          <w:bCs/>
          <w:iCs/>
          <w:sz w:val="20"/>
          <w:szCs w:val="18"/>
          <w:lang w:val="it-IT"/>
        </w:rPr>
        <w:t>taly</w:t>
      </w:r>
    </w:p>
    <w:p w14:paraId="136806BA" w14:textId="56569070" w:rsidR="00351228" w:rsidRPr="00CC3FFF" w:rsidRDefault="00351228" w:rsidP="0035122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Institute for Biomedical Technologies-Nation</w:t>
      </w:r>
      <w:r w:rsidR="00EE5F9C">
        <w:rPr>
          <w:rFonts w:ascii="Times New Roman" w:hAnsi="Times New Roman" w:cs="Times New Roman"/>
          <w:bCs/>
          <w:iCs/>
          <w:sz w:val="20"/>
          <w:szCs w:val="18"/>
        </w:rPr>
        <w:t>al Research Council, Segrate, Italy</w:t>
      </w:r>
    </w:p>
    <w:p w14:paraId="18D6BEF3" w14:textId="513A620E" w:rsidR="00351228" w:rsidRPr="00CC3FFF" w:rsidRDefault="00351228" w:rsidP="0035122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4</w:t>
      </w:r>
      <w:r w:rsidRPr="00CC3FFF">
        <w:rPr>
          <w:rFonts w:ascii="Times New Roman" w:hAnsi="Times New Roman" w:cs="Times New Roman"/>
          <w:bCs/>
          <w:iCs/>
          <w:sz w:val="20"/>
          <w:szCs w:val="18"/>
        </w:rPr>
        <w:t xml:space="preserve">University of Padova, </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of Biomedical Sci</w:t>
      </w:r>
      <w:r w:rsidR="00EE5F9C">
        <w:rPr>
          <w:rFonts w:ascii="Times New Roman" w:hAnsi="Times New Roman" w:cs="Times New Roman"/>
          <w:bCs/>
          <w:iCs/>
          <w:sz w:val="20"/>
          <w:szCs w:val="18"/>
        </w:rPr>
        <w:t>ences, Padova, Italy</w:t>
      </w:r>
    </w:p>
    <w:p w14:paraId="01683EA8" w14:textId="430DAA39" w:rsidR="00351228" w:rsidRPr="00CC3FFF" w:rsidRDefault="00351228" w:rsidP="0035122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5</w:t>
      </w:r>
      <w:r w:rsidRPr="00CC3FFF">
        <w:rPr>
          <w:rFonts w:ascii="Times New Roman" w:hAnsi="Times New Roman" w:cs="Times New Roman"/>
          <w:bCs/>
          <w:iCs/>
          <w:sz w:val="20"/>
          <w:szCs w:val="18"/>
        </w:rPr>
        <w:t>Dep</w:t>
      </w:r>
      <w:r w:rsidR="005D7278"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Civil Engineering and Architecture</w:t>
      </w:r>
      <w:r w:rsidR="00EE5F9C">
        <w:rPr>
          <w:rFonts w:ascii="Times New Roman" w:hAnsi="Times New Roman" w:cs="Times New Roman"/>
          <w:bCs/>
          <w:iCs/>
          <w:sz w:val="20"/>
          <w:szCs w:val="18"/>
        </w:rPr>
        <w:t>, University of Pavia, Pavia, Italy</w:t>
      </w:r>
    </w:p>
    <w:p w14:paraId="44FC9D20" w14:textId="0043CB6B" w:rsidR="004572A6" w:rsidRPr="00CC3FFF" w:rsidRDefault="00351228" w:rsidP="0035122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6</w:t>
      </w:r>
      <w:r w:rsidR="00EE5F9C">
        <w:rPr>
          <w:rFonts w:ascii="Times New Roman" w:hAnsi="Times New Roman" w:cs="Times New Roman"/>
          <w:bCs/>
          <w:iCs/>
          <w:sz w:val="20"/>
          <w:szCs w:val="18"/>
        </w:rPr>
        <w:t>PharmaExceed s.r.l., Pavia, Italy</w:t>
      </w:r>
    </w:p>
    <w:p w14:paraId="13CB5543" w14:textId="77777777" w:rsidR="00351228" w:rsidRPr="00CC3FFF" w:rsidRDefault="00351228" w:rsidP="00351228">
      <w:pPr>
        <w:adjustRightInd w:val="0"/>
        <w:snapToGrid w:val="0"/>
        <w:spacing w:line="260" w:lineRule="atLeast"/>
        <w:rPr>
          <w:rFonts w:ascii="Times New Roman" w:hAnsi="Times New Roman" w:cs="Times New Roman"/>
          <w:bCs/>
          <w:iCs/>
          <w:sz w:val="20"/>
          <w:szCs w:val="18"/>
        </w:rPr>
      </w:pPr>
    </w:p>
    <w:p w14:paraId="0F1FA2C6" w14:textId="163F5193" w:rsidR="00351228" w:rsidRPr="00CC3FFF" w:rsidRDefault="00351228" w:rsidP="0035122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This study aimed to develop and evaluate decellularized dermal scaffolds loaded with an optimized mesenchymal stem cell (MSC) secretome to enhance wound healing by promoting cell migration, angiogenesis, and regeneration.</w:t>
      </w:r>
    </w:p>
    <w:p w14:paraId="33F4EFA6" w14:textId="61EFAC08" w:rsidR="00351228" w:rsidRPr="00CC3FFF" w:rsidRDefault="00351228" w:rsidP="0035122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Decellularized dermal scaffolds were produced using detergent-based protocols and characterized for structure, composition, swelling, and cytocompatibility. An optimized MSC-secretome – obtained under serum starvation with pro-inflammatory or hypoxic preconditioning – was concentrated, lyophilized, and adsorbed onto the scaffolds. Secretome release was evaluated up to 48 h, and regenerative efficacy was assessed in vitro using fibroblast and endothelial wound-healing assays combined with automated image analysis and proteomic profiling.</w:t>
      </w:r>
    </w:p>
    <w:p w14:paraId="302C6478" w14:textId="6EE83E05" w:rsidR="00351228" w:rsidRPr="00CC3FFF" w:rsidRDefault="00351228" w:rsidP="0035122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Results: a</w:t>
      </w:r>
      <w:r w:rsidRPr="00CC3FFF">
        <w:rPr>
          <w:rFonts w:ascii="Times New Roman" w:hAnsi="Times New Roman" w:cs="Times New Roman"/>
          <w:bCs/>
          <w:iCs/>
          <w:sz w:val="20"/>
          <w:szCs w:val="18"/>
        </w:rPr>
        <w:t>ll decellularization protocols preserved dermal extracellular matrix architecture and high swelling capacity, while effectively removing cells. Fibroblast viability and proliferation were scaffold-dependent, with reduced performance on scaffolds obtained using sodium dodecyl sulphate, likely because it is difficult to remove this cytotoxic surfactant. MSC-secretome release from the scaffolds varied with decellularization method, showing diffusion-controlled protein release and rapid lipid release. Proteomic and functional analyses demonstrated that MSC preconditioning modulates secretome composition and wound-healing efficacy in a cell type-specific manner, enabling tailored regenerative responses.</w:t>
      </w:r>
    </w:p>
    <w:p w14:paraId="1D8A0442" w14:textId="4337A340" w:rsidR="004572A6" w:rsidRPr="00CC3FFF" w:rsidRDefault="00351228" w:rsidP="0035122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This study demonstrates in vitro that decellularized dermis scaffolds can deliver MSC-secretome, with different preconditioning methods of MSCs altering secretome composition and wound-healing efficacy, supporting future in vivo testing.</w:t>
      </w:r>
    </w:p>
    <w:p w14:paraId="34307676" w14:textId="0D800537" w:rsidR="004572A6" w:rsidRPr="00CC3FFF" w:rsidRDefault="004572A6" w:rsidP="004572A6">
      <w:pPr>
        <w:adjustRightInd w:val="0"/>
        <w:snapToGrid w:val="0"/>
        <w:spacing w:line="260" w:lineRule="atLeast"/>
        <w:rPr>
          <w:rFonts w:ascii="Times New Roman" w:hAnsi="Times New Roman" w:cs="Times New Roman"/>
          <w:bCs/>
          <w:iCs/>
          <w:sz w:val="20"/>
          <w:szCs w:val="18"/>
        </w:rPr>
      </w:pPr>
    </w:p>
    <w:p w14:paraId="5AD236BA" w14:textId="6F9D40EA" w:rsidR="004572A6" w:rsidRPr="00CC3FFF" w:rsidRDefault="001604DA" w:rsidP="004572A6">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 xml:space="preserve">4. </w:t>
      </w:r>
      <w:r w:rsidR="005D7278" w:rsidRPr="00CC3FFF">
        <w:rPr>
          <w:rFonts w:ascii="Times New Roman" w:hAnsi="Times New Roman" w:cs="Times New Roman"/>
          <w:b/>
          <w:bCs/>
          <w:iCs/>
          <w:caps/>
          <w:sz w:val="20"/>
          <w:szCs w:val="18"/>
        </w:rPr>
        <w:t>Adaptive mitochondrial quality control supports oxidative stress resistance in Muse cells</w:t>
      </w:r>
    </w:p>
    <w:p w14:paraId="4D8A5B74" w14:textId="77777777" w:rsidR="004572A6" w:rsidRPr="00CC3FFF" w:rsidRDefault="004572A6" w:rsidP="004572A6">
      <w:pPr>
        <w:adjustRightInd w:val="0"/>
        <w:snapToGrid w:val="0"/>
        <w:spacing w:line="260" w:lineRule="atLeast"/>
        <w:rPr>
          <w:rFonts w:ascii="Times New Roman" w:hAnsi="Times New Roman" w:cs="Times New Roman"/>
          <w:bCs/>
          <w:iCs/>
          <w:sz w:val="20"/>
          <w:szCs w:val="18"/>
        </w:rPr>
      </w:pPr>
    </w:p>
    <w:p w14:paraId="17CEE39A" w14:textId="52A976AC" w:rsidR="004572A6" w:rsidRPr="00CC3FFF" w:rsidRDefault="005D7278" w:rsidP="004572A6">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M. Bernazeaud</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D. Aprile</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T. Squillaro</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N. Alessio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U. Galderisi</w:t>
      </w:r>
      <w:r w:rsidRPr="00CC3FFF">
        <w:rPr>
          <w:rFonts w:ascii="Times New Roman" w:hAnsi="Times New Roman" w:cs="Times New Roman"/>
          <w:bCs/>
          <w:iCs/>
          <w:sz w:val="20"/>
          <w:szCs w:val="18"/>
          <w:vertAlign w:val="superscript"/>
          <w:lang w:val="it-IT"/>
        </w:rPr>
        <w:t>1,3</w:t>
      </w:r>
      <w:r w:rsidRPr="00CC3FFF">
        <w:rPr>
          <w:rFonts w:ascii="Times New Roman" w:hAnsi="Times New Roman" w:cs="Times New Roman"/>
          <w:bCs/>
          <w:iCs/>
          <w:sz w:val="20"/>
          <w:szCs w:val="18"/>
          <w:lang w:val="it-IT"/>
        </w:rPr>
        <w:t>, G. Di Bernardo</w:t>
      </w:r>
      <w:r w:rsidRPr="00CC3FFF">
        <w:rPr>
          <w:rFonts w:ascii="Times New Roman" w:hAnsi="Times New Roman" w:cs="Times New Roman"/>
          <w:bCs/>
          <w:iCs/>
          <w:sz w:val="20"/>
          <w:szCs w:val="18"/>
          <w:vertAlign w:val="superscript"/>
          <w:lang w:val="it-IT"/>
        </w:rPr>
        <w:t>1</w:t>
      </w:r>
    </w:p>
    <w:p w14:paraId="76FE5858" w14:textId="77777777" w:rsidR="004572A6" w:rsidRPr="00CC3FFF" w:rsidRDefault="004572A6" w:rsidP="004572A6">
      <w:pPr>
        <w:adjustRightInd w:val="0"/>
        <w:snapToGrid w:val="0"/>
        <w:spacing w:line="260" w:lineRule="atLeast"/>
        <w:rPr>
          <w:rFonts w:ascii="Times New Roman" w:hAnsi="Times New Roman" w:cs="Times New Roman"/>
          <w:bCs/>
          <w:iCs/>
          <w:sz w:val="20"/>
          <w:szCs w:val="18"/>
          <w:lang w:val="it-IT"/>
        </w:rPr>
      </w:pPr>
    </w:p>
    <w:p w14:paraId="0DCA7DDF" w14:textId="16EBD0CB" w:rsidR="005D7278" w:rsidRPr="00CC3FFF" w:rsidRDefault="005D7278" w:rsidP="005D727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Pr="00CC3FFF">
        <w:rPr>
          <w:rFonts w:ascii="Times New Roman" w:hAnsi="Times New Roman" w:cs="Times New Roman"/>
          <w:bCs/>
          <w:iCs/>
          <w:sz w:val="20"/>
          <w:szCs w:val="18"/>
        </w:rPr>
        <w:t>Department of Experimental Medicine, Luigi Vanvitelli Campania University, Naples, Italy</w:t>
      </w:r>
    </w:p>
    <w:p w14:paraId="2C4B9859" w14:textId="3DBE2CFB" w:rsidR="005D7278" w:rsidRPr="00CC3FFF" w:rsidRDefault="005D7278" w:rsidP="005D727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Depepartment of Life Sciences, Health and Health Professions, Link Campus University, Rome, Italy</w:t>
      </w:r>
    </w:p>
    <w:p w14:paraId="3586963C" w14:textId="6B205AFB" w:rsidR="004572A6" w:rsidRPr="00CC3FFF" w:rsidRDefault="005D7278" w:rsidP="005D727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Sbarro Health Research Organization, Temple University, Philadelphia, USA</w:t>
      </w:r>
    </w:p>
    <w:p w14:paraId="073E57BD" w14:textId="77777777" w:rsidR="004572A6" w:rsidRPr="00CC3FFF" w:rsidRDefault="004572A6" w:rsidP="004572A6">
      <w:pPr>
        <w:adjustRightInd w:val="0"/>
        <w:snapToGrid w:val="0"/>
        <w:spacing w:line="260" w:lineRule="atLeast"/>
        <w:rPr>
          <w:rFonts w:ascii="Times New Roman" w:hAnsi="Times New Roman" w:cs="Times New Roman"/>
          <w:bCs/>
          <w:iCs/>
          <w:sz w:val="20"/>
          <w:szCs w:val="18"/>
        </w:rPr>
      </w:pPr>
    </w:p>
    <w:p w14:paraId="68D66BB1" w14:textId="2651720C" w:rsidR="005D7278" w:rsidRPr="00CC3FFF" w:rsidRDefault="005D7278" w:rsidP="005D727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 xml:space="preserve">Reactive oxygen species (ROS) exert context-dependent effects on adult stem cells: transient and controlled increases support activation and repair, whereas sustained oxidative stress compromises mitochondrial function and progressively erodes regenerative capacity. Effective tissue regeneration therefore relies on the ability of stem cells to rapidly sense oxidative challenges and engage adaptive mitochondrial quality control (MQC) responses. Multilineage-differentiating stress-enduring </w:t>
      </w:r>
      <w:r w:rsidRPr="00CC3FFF">
        <w:rPr>
          <w:rFonts w:ascii="Times New Roman" w:hAnsi="Times New Roman" w:cs="Times New Roman"/>
          <w:bCs/>
          <w:iCs/>
          <w:sz w:val="20"/>
          <w:szCs w:val="18"/>
        </w:rPr>
        <w:lastRenderedPageBreak/>
        <w:t>(Muse) cells, a rare SSEA-3–positive subpopulation of mesenchymal stromal cells (MSCs), display exceptional survival in ROS-rich environments, yet the molecular mechanisms underlying this phenotype remain incompletely defined.</w:t>
      </w:r>
    </w:p>
    <w:p w14:paraId="0069E8AA" w14:textId="4AC9C86A" w:rsidR="005D7278" w:rsidRPr="00CC3FFF" w:rsidRDefault="005D7278" w:rsidP="005D727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Here, bulk MSCs, Muse cells, and Non-Muse cells were challenged with an acute oxidative insult (300 µM H</w:t>
      </w:r>
      <w:r w:rsidRPr="00CC3FFF">
        <w:rPr>
          <w:rFonts w:ascii="Cambria Math" w:hAnsi="Cambria Math" w:cs="Cambria Math"/>
          <w:bCs/>
          <w:iCs/>
          <w:sz w:val="20"/>
          <w:szCs w:val="18"/>
        </w:rPr>
        <w:t>₂</w:t>
      </w:r>
      <w:r w:rsidRPr="00CC3FFF">
        <w:rPr>
          <w:rFonts w:ascii="Times New Roman" w:hAnsi="Times New Roman" w:cs="Times New Roman"/>
          <w:bCs/>
          <w:iCs/>
          <w:sz w:val="20"/>
          <w:szCs w:val="18"/>
        </w:rPr>
        <w:t>O</w:t>
      </w:r>
      <w:r w:rsidRPr="00CC3FFF">
        <w:rPr>
          <w:rFonts w:ascii="Cambria Math" w:hAnsi="Cambria Math" w:cs="Cambria Math"/>
          <w:bCs/>
          <w:iCs/>
          <w:sz w:val="20"/>
          <w:szCs w:val="18"/>
        </w:rPr>
        <w:t>₂</w:t>
      </w:r>
      <w:r w:rsidRPr="00CC3FFF">
        <w:rPr>
          <w:rFonts w:ascii="Times New Roman" w:hAnsi="Times New Roman" w:cs="Times New Roman"/>
          <w:bCs/>
          <w:iCs/>
          <w:sz w:val="20"/>
          <w:szCs w:val="18"/>
        </w:rPr>
        <w:t>), and their responses were examined in terms of ROS handling, mitochondrial DNA (mtDNA) damage, antioxidant and Base Excision Repair (BER) activation, and MQC dynamics, with a specific focus on the PGC-1α/NRF2 signaling pathway and its pharmacological modulation.</w:t>
      </w:r>
    </w:p>
    <w:p w14:paraId="6DA03431" w14:textId="341B38FB" w:rsidR="005D7278" w:rsidRPr="00CC3FFF" w:rsidRDefault="005D7278" w:rsidP="005D727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Muse cells exhibited a markedly enhanced capacity to resolve ROS accumulation, preserve mtDNA integrity, and prevent 8-oxo-dG buildup compared with MSCs and Non-Muse counterparts. Within one hour of stress exposure, Muse cells robustly induced key antioxidant enzymes (CAT, SOD1, GPX1) alongside BER components. Concomitantly, they maintained mitochondrial membrane potential and structural integrity, preserving fusion–fission homeostasis, while MSCs and Non-Muse cells underwent pronounced mitochondrial fragmentation and persistent depolarization. Oxidatively damaged mitochondria in Muse cells were efficiently eliminated through PINK1-dependent mitophagy and rapidly replenished by mitochondrial biogenesis, as indicated by an increased COX-I/ SDH-A ratio driven by PGC-1α activity. Pharmacological inhibition of this axis significantly blunted mitochondrial renewal, with a particularly strong impact in Muse cells, highlighting their reliance on tightly coordinated mitochondrial turnover.</w:t>
      </w:r>
    </w:p>
    <w:p w14:paraId="0354C156" w14:textId="730736FC" w:rsidR="004572A6" w:rsidRPr="00CC3FFF" w:rsidRDefault="005D7278" w:rsidP="005D7278">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Conclusions</w:t>
      </w:r>
      <w:r w:rsidRPr="00CC3FFF">
        <w:rPr>
          <w:rFonts w:ascii="Times New Roman" w:hAnsi="Times New Roman" w:cs="Times New Roman"/>
          <w:bCs/>
          <w:iCs/>
          <w:sz w:val="20"/>
          <w:szCs w:val="18"/>
        </w:rPr>
        <w:t>: Muse cells adapt to acute oxidative stress through an integrated response that combines early antioxidant and DNA repair activation with a temporally controlled mitophagy–biogenesis program driven by the PGC-1α–NRF2 axis. This efficient “clear-and-renew” strategy preserves mitochondrial functionality and supports the unique stress endurance of Muse cells.</w:t>
      </w:r>
    </w:p>
    <w:p w14:paraId="513906D2" w14:textId="7662D77D" w:rsidR="002D706D" w:rsidRPr="00CC3FFF" w:rsidRDefault="002D706D" w:rsidP="004572A6">
      <w:pPr>
        <w:adjustRightInd w:val="0"/>
        <w:snapToGrid w:val="0"/>
        <w:spacing w:line="260" w:lineRule="atLeast"/>
        <w:rPr>
          <w:rFonts w:ascii="Times New Roman" w:hAnsi="Times New Roman" w:cs="Times New Roman"/>
          <w:bCs/>
          <w:iCs/>
          <w:sz w:val="20"/>
          <w:szCs w:val="18"/>
        </w:rPr>
      </w:pPr>
    </w:p>
    <w:p w14:paraId="61CFC7E7" w14:textId="44D43215" w:rsidR="002D706D" w:rsidRPr="00CC3FFF" w:rsidRDefault="001604DA" w:rsidP="002D706D">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 xml:space="preserve">5. </w:t>
      </w:r>
      <w:r w:rsidR="00BA6610" w:rsidRPr="00CC3FFF">
        <w:rPr>
          <w:rFonts w:ascii="Times New Roman" w:hAnsi="Times New Roman" w:cs="Times New Roman"/>
          <w:b/>
          <w:bCs/>
          <w:iCs/>
          <w:caps/>
          <w:sz w:val="20"/>
          <w:szCs w:val="18"/>
        </w:rPr>
        <w:t>Design of silk fibroin-based hydrogels functionalized with extracellular matrix and mesenchymal stem cell secretome for skin bioprinting</w:t>
      </w:r>
    </w:p>
    <w:p w14:paraId="7B34D410" w14:textId="77777777" w:rsidR="002D706D" w:rsidRPr="00CC3FFF" w:rsidRDefault="002D706D" w:rsidP="002D706D">
      <w:pPr>
        <w:adjustRightInd w:val="0"/>
        <w:snapToGrid w:val="0"/>
        <w:spacing w:line="260" w:lineRule="atLeast"/>
        <w:rPr>
          <w:rFonts w:ascii="Times New Roman" w:hAnsi="Times New Roman" w:cs="Times New Roman"/>
          <w:bCs/>
          <w:iCs/>
          <w:sz w:val="20"/>
          <w:szCs w:val="18"/>
        </w:rPr>
      </w:pPr>
    </w:p>
    <w:p w14:paraId="34B86046" w14:textId="10E9C71B" w:rsidR="002D706D" w:rsidRPr="00CC3FFF" w:rsidRDefault="00BA6610" w:rsidP="002D706D">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E. Bertania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A. Modena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E. Bari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I. Miletto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 Segale</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 Giovannelli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Conti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F. Scocozza</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 Rinaldi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L. Torre</w:t>
      </w:r>
      <w:r w:rsidRPr="00CC3FFF">
        <w:rPr>
          <w:rFonts w:ascii="Times New Roman" w:hAnsi="Times New Roman" w:cs="Times New Roman"/>
          <w:bCs/>
          <w:iCs/>
          <w:sz w:val="20"/>
          <w:szCs w:val="18"/>
          <w:vertAlign w:val="superscript"/>
          <w:lang w:val="it-IT"/>
        </w:rPr>
        <w:t>1</w:t>
      </w:r>
    </w:p>
    <w:p w14:paraId="20523E04" w14:textId="77777777" w:rsidR="002D706D" w:rsidRPr="00CC3FFF" w:rsidRDefault="002D706D" w:rsidP="002D706D">
      <w:pPr>
        <w:adjustRightInd w:val="0"/>
        <w:snapToGrid w:val="0"/>
        <w:spacing w:line="260" w:lineRule="atLeast"/>
        <w:rPr>
          <w:rFonts w:ascii="Times New Roman" w:hAnsi="Times New Roman" w:cs="Times New Roman"/>
          <w:bCs/>
          <w:iCs/>
          <w:sz w:val="20"/>
          <w:szCs w:val="18"/>
          <w:lang w:val="it-IT"/>
        </w:rPr>
      </w:pPr>
    </w:p>
    <w:p w14:paraId="638059A9" w14:textId="278468B8" w:rsidR="00BA6610" w:rsidRPr="00CC3FFF" w:rsidRDefault="00BA6610" w:rsidP="00BA661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of Pharmaceutical Sciences, University of Piemonte Orientale, Novara, Italy</w:t>
      </w:r>
    </w:p>
    <w:p w14:paraId="430788A0" w14:textId="558E126C" w:rsidR="002D706D" w:rsidRPr="00CC3FFF" w:rsidRDefault="00BA6610" w:rsidP="00BA661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of Civil Engineering and Architecture, University of Pavia, Pavia, Italy</w:t>
      </w:r>
    </w:p>
    <w:p w14:paraId="13112C3B" w14:textId="77777777" w:rsidR="002D706D" w:rsidRPr="00CC3FFF" w:rsidRDefault="002D706D" w:rsidP="002D706D">
      <w:pPr>
        <w:adjustRightInd w:val="0"/>
        <w:snapToGrid w:val="0"/>
        <w:spacing w:line="260" w:lineRule="atLeast"/>
        <w:rPr>
          <w:rFonts w:ascii="Times New Roman" w:hAnsi="Times New Roman" w:cs="Times New Roman"/>
          <w:bCs/>
          <w:iCs/>
          <w:sz w:val="20"/>
          <w:szCs w:val="18"/>
        </w:rPr>
      </w:pPr>
    </w:p>
    <w:p w14:paraId="2BEAD443" w14:textId="0ECE0A8A" w:rsidR="00BA6610" w:rsidRPr="00CC3FFF" w:rsidRDefault="00BA6610" w:rsidP="00BA661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This study aims to formulate bioactive silk fibroin (SF)-based bioinks for 3D bioprinting applications by incorporating mesenchymal stem cell (MSC)-secretome and decellularized extracellular matrix (dECM) to direct cellular proliferation and differentiation.</w:t>
      </w:r>
    </w:p>
    <w:p w14:paraId="4566A39E" w14:textId="411450BB" w:rsidR="00BA6610" w:rsidRPr="00CC3FFF" w:rsidRDefault="00BA6610" w:rsidP="00BA661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SF hydrogels were prepared by increasing K+ concentration and applying sonication to induce b-sheet formation. 35 formulations were produced using a 2-level, 3-factor central composite design. Gelation kinetics were monitored at 600 nm and analyzed using 4-parameter logistic modeling. Neural network and Random Forest models predicted gelation parameters to define optimized formulation space. Dermal dECM was obtained by pepsin digestion, followed by enzyme inactivation through pH neutralization and incubation at 60 °C, and then lyophilized. MSC-secretome was obtained from IL-1b-stimulated MSCs cultured in serum-free medium. Green fluorescent protein (GFP)-expressing fibroblasts were seeded onto SF hydrogels with or without lyophilized dECM (1% w/v) and MSC-secretome (1 mg/mL), and monitored up to 14 days using confocal microscopy. Hydrogels with varying gelation levels were printed using a BioX bioprinter with 0.4-0.5 mm nozzles, producing serpentine or grid structures.</w:t>
      </w:r>
    </w:p>
    <w:p w14:paraId="295A1789" w14:textId="4EC646B7" w:rsidR="00BA6610" w:rsidRPr="00CC3FFF" w:rsidRDefault="00BA6610" w:rsidP="00BA661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 xml:space="preserve">Neural network modeling identified an operational region achieving </w:t>
      </w:r>
      <w:proofErr w:type="gramStart"/>
      <w:r w:rsidRPr="00CC3FFF">
        <w:rPr>
          <w:rFonts w:ascii="Times New Roman" w:hAnsi="Times New Roman" w:cs="Times New Roman"/>
          <w:bCs/>
          <w:iCs/>
          <w:sz w:val="20"/>
          <w:szCs w:val="18"/>
        </w:rPr>
        <w:t>5-10 minute</w:t>
      </w:r>
      <w:proofErr w:type="gramEnd"/>
      <w:r w:rsidRPr="00CC3FFF">
        <w:rPr>
          <w:rFonts w:ascii="Times New Roman" w:hAnsi="Times New Roman" w:cs="Times New Roman"/>
          <w:bCs/>
          <w:iCs/>
          <w:sz w:val="20"/>
          <w:szCs w:val="18"/>
        </w:rPr>
        <w:t xml:space="preserve"> gelation suitable for bioink formation. Scanning electron microscopy revealed that sonication increased porosity, with higher amplitudes producing more sponge-like structures. All SF gels were non-cytotoxic to human</w:t>
      </w:r>
    </w:p>
    <w:p w14:paraId="15F9E2A6" w14:textId="42F8C3DE" w:rsidR="00BA6610" w:rsidRPr="00CC3FFF" w:rsidRDefault="00BA6610" w:rsidP="00BA661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 xml:space="preserve">fibroblasts. Regarding dECM, thermal inactivation + pH neutralization eliminated pepsin cytotoxicity, </w:t>
      </w:r>
      <w:r w:rsidRPr="00CC3FFF">
        <w:rPr>
          <w:rFonts w:ascii="Times New Roman" w:hAnsi="Times New Roman" w:cs="Times New Roman"/>
          <w:bCs/>
          <w:iCs/>
          <w:sz w:val="20"/>
          <w:szCs w:val="18"/>
        </w:rPr>
        <w:lastRenderedPageBreak/>
        <w:t xml:space="preserve">with concentrations up to 3.45 mg/mL non-cytotoxic for fibroblasts, MSCs, and human umbilical vein endothelial cells. IL-1b-stimulated MSC-secretome showed enhanced wound closure activity. Confocal microscopy revealed initial surface colonization at day 4, with complete penetration throughout gel thickness by day 14. Enhanced fluorescence was observed at all </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hs in hydrogels supplemented with both MSC-secretome and dECM. Preliminary bioprinting tests showed that intermediately gelled hydrogels performed better than fully gelled or ungelled formulations.</w:t>
      </w:r>
    </w:p>
    <w:p w14:paraId="48F1DBDB" w14:textId="11DEA4ED" w:rsidR="002D706D" w:rsidRPr="00CC3FFF" w:rsidRDefault="00BA6610" w:rsidP="00BA661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SF hydrogels enriched with dECM and MSC-secretome create a biocompatible, tissue-mimetic environment promoting fibroblast infiltration, demonstrating promise as bioinks for skin regeneration.</w:t>
      </w:r>
    </w:p>
    <w:p w14:paraId="7ACD4966" w14:textId="7CD8D42E" w:rsidR="002D706D" w:rsidRPr="00CC3FFF" w:rsidRDefault="002D706D" w:rsidP="002D706D">
      <w:pPr>
        <w:adjustRightInd w:val="0"/>
        <w:snapToGrid w:val="0"/>
        <w:spacing w:line="260" w:lineRule="atLeast"/>
        <w:rPr>
          <w:rFonts w:ascii="Times New Roman" w:hAnsi="Times New Roman" w:cs="Times New Roman"/>
          <w:bCs/>
          <w:iCs/>
          <w:sz w:val="20"/>
          <w:szCs w:val="18"/>
        </w:rPr>
      </w:pPr>
    </w:p>
    <w:p w14:paraId="79A6AD29" w14:textId="7E196EDD" w:rsidR="002D706D" w:rsidRPr="00CC3FFF" w:rsidRDefault="001604DA" w:rsidP="002D706D">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 xml:space="preserve">6. </w:t>
      </w:r>
      <w:r w:rsidR="00614D70" w:rsidRPr="00CC3FFF">
        <w:rPr>
          <w:rFonts w:ascii="Times New Roman" w:hAnsi="Times New Roman" w:cs="Times New Roman"/>
          <w:b/>
          <w:bCs/>
          <w:iCs/>
          <w:caps/>
          <w:sz w:val="20"/>
          <w:szCs w:val="18"/>
        </w:rPr>
        <w:t>Cell-specific targeting via a gmp-ready microfluidic carrier-in-carrier system of silk fibroin nanoparticles encapsulated in extracellular vesicles</w:t>
      </w:r>
    </w:p>
    <w:p w14:paraId="0A4DE4A0" w14:textId="77777777" w:rsidR="002D706D" w:rsidRPr="00CC3FFF" w:rsidRDefault="002D706D" w:rsidP="002D706D">
      <w:pPr>
        <w:adjustRightInd w:val="0"/>
        <w:snapToGrid w:val="0"/>
        <w:spacing w:line="260" w:lineRule="atLeast"/>
        <w:rPr>
          <w:rFonts w:ascii="Times New Roman" w:hAnsi="Times New Roman" w:cs="Times New Roman"/>
          <w:bCs/>
          <w:iCs/>
          <w:sz w:val="20"/>
          <w:szCs w:val="18"/>
        </w:rPr>
      </w:pPr>
    </w:p>
    <w:p w14:paraId="694882CC" w14:textId="2D37448C" w:rsidR="002D706D" w:rsidRPr="00CC3FFF" w:rsidRDefault="00614D70" w:rsidP="002D706D">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E. Bertania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A. Modena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E. Bari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 Segale</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 Giovannelli1, D. Lim</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L. Torre</w:t>
      </w:r>
      <w:r w:rsidRPr="00CC3FFF">
        <w:rPr>
          <w:rFonts w:ascii="Times New Roman" w:hAnsi="Times New Roman" w:cs="Times New Roman"/>
          <w:bCs/>
          <w:iCs/>
          <w:sz w:val="20"/>
          <w:szCs w:val="18"/>
          <w:vertAlign w:val="superscript"/>
          <w:lang w:val="it-IT"/>
        </w:rPr>
        <w:t>1</w:t>
      </w:r>
    </w:p>
    <w:p w14:paraId="1DCEC08D" w14:textId="77777777" w:rsidR="002D706D" w:rsidRPr="00CC3FFF" w:rsidRDefault="002D706D" w:rsidP="002D706D">
      <w:pPr>
        <w:adjustRightInd w:val="0"/>
        <w:snapToGrid w:val="0"/>
        <w:spacing w:line="260" w:lineRule="atLeast"/>
        <w:rPr>
          <w:rFonts w:ascii="Times New Roman" w:hAnsi="Times New Roman" w:cs="Times New Roman"/>
          <w:bCs/>
          <w:iCs/>
          <w:sz w:val="20"/>
          <w:szCs w:val="18"/>
          <w:lang w:val="it-IT"/>
        </w:rPr>
      </w:pPr>
    </w:p>
    <w:p w14:paraId="1AF88955" w14:textId="0B522878" w:rsidR="002D706D" w:rsidRPr="00CC3FFF" w:rsidRDefault="002D706D" w:rsidP="00614D7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00AC5CDC">
        <w:rPr>
          <w:rFonts w:ascii="Times New Roman" w:hAnsi="Times New Roman" w:cs="Times New Roman"/>
          <w:bCs/>
          <w:iCs/>
          <w:sz w:val="20"/>
          <w:szCs w:val="18"/>
        </w:rPr>
        <w:t>Department</w:t>
      </w:r>
      <w:r w:rsidR="00614D70" w:rsidRPr="00CC3FFF">
        <w:rPr>
          <w:rFonts w:ascii="Times New Roman" w:hAnsi="Times New Roman" w:cs="Times New Roman"/>
          <w:bCs/>
          <w:iCs/>
          <w:sz w:val="20"/>
          <w:szCs w:val="18"/>
        </w:rPr>
        <w:t xml:space="preserve"> of Pharmaceutical Sciences, University of Piemonte Orientale, Novara, Italy</w:t>
      </w:r>
    </w:p>
    <w:p w14:paraId="1B82D2C2" w14:textId="77777777" w:rsidR="002D706D" w:rsidRPr="00CC3FFF" w:rsidRDefault="002D706D" w:rsidP="002D706D">
      <w:pPr>
        <w:adjustRightInd w:val="0"/>
        <w:snapToGrid w:val="0"/>
        <w:spacing w:line="260" w:lineRule="atLeast"/>
        <w:rPr>
          <w:rFonts w:ascii="Times New Roman" w:hAnsi="Times New Roman" w:cs="Times New Roman"/>
          <w:bCs/>
          <w:iCs/>
          <w:sz w:val="20"/>
          <w:szCs w:val="18"/>
        </w:rPr>
      </w:pPr>
    </w:p>
    <w:p w14:paraId="3E39701C" w14:textId="54DC6162" w:rsidR="00614D70" w:rsidRPr="00CC3FFF" w:rsidRDefault="00614D70" w:rsidP="00614D7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This study aims to develop a carrier-in-carrier drug delivery system combining silk fibroin nanoparticles (SFNs) with extracellular vesicles (EVs) to integrate high drug loading and controlled release with enhanced targeting and cellular uptake, while enabling scalable and GMP-compliant production.</w:t>
      </w:r>
    </w:p>
    <w:p w14:paraId="4AF9B395" w14:textId="667E29A6" w:rsidR="00614D70" w:rsidRPr="00CC3FFF" w:rsidRDefault="00614D70" w:rsidP="00614D7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Materials and Methods</w:t>
      </w:r>
      <w:r w:rsidRPr="00CC3FFF">
        <w:rPr>
          <w:rFonts w:ascii="Times New Roman" w:hAnsi="Times New Roman" w:cs="Times New Roman"/>
          <w:bCs/>
          <w:iCs/>
          <w:sz w:val="20"/>
          <w:szCs w:val="18"/>
        </w:rPr>
        <w:t>: SFNs were prepared by desolvation of FITC-labeled silk fibroin extracted from Bombyx mori cocoons in acetone containing curcumin as a model drug, followed by purification and freeze-drying. EVs were isolated from mesenchymal stem or mesothelioma cells cultured in serum-free medium using tangential flow filtration. Carrier-in-carrier systems were generated by sonication or by a GMP-compliant microfluidic approach at defined SFN/EV ratios and flow conditions. Systems were characterized for structure (confocal microscopy, FRET), size, stability at 4°C, drug protection at 25°C, release kinetics, and cell-specific uptake in healthy and tumor cells.</w:t>
      </w:r>
    </w:p>
    <w:p w14:paraId="0B6B8BF9" w14:textId="02B75905" w:rsidR="00614D70" w:rsidRPr="00CC3FFF" w:rsidRDefault="00614D70" w:rsidP="00614D7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Confocal microscopy and FRET analyses confirmed successful EV coating of SFNs, revealing a spherical carrier-in-carrier structure with SFNs localized at the core and EVs forming the outer shell. The system showed high colloidal stability for up to 25 days at 4°C, unlike SFNs or EVs alone. The carrier-in-carrier significantly improved curcumin stability and slowed release compared with SFNs, with diffusion-dominated kinetics and a minor contribution from case-II relaxation. EV coating conferred cell-specific uptake in vitro, depending on EV origin, and the carrier-in-carrier architecture was reproducibly scaled up using a GMP-compliant microfluidic approach.</w:t>
      </w:r>
    </w:p>
    <w:p w14:paraId="2550EEE9" w14:textId="46A7AA67" w:rsidR="002D706D" w:rsidRPr="00CC3FFF" w:rsidRDefault="00614D70" w:rsidP="00614D7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The carrier-in-carrier selective targeting represents a promising strategy for precision medicine, potentially enhancing therapeutic efficacy while minimizing off-target effects and reducing systemic toxicity associated with conventional drug-delivery methods.</w:t>
      </w:r>
    </w:p>
    <w:p w14:paraId="461B1DDB" w14:textId="10576BE7" w:rsidR="0069121A" w:rsidRPr="00CC3FFF" w:rsidRDefault="0069121A" w:rsidP="002D706D">
      <w:pPr>
        <w:adjustRightInd w:val="0"/>
        <w:snapToGrid w:val="0"/>
        <w:spacing w:line="260" w:lineRule="atLeast"/>
        <w:rPr>
          <w:rFonts w:ascii="Times New Roman" w:hAnsi="Times New Roman" w:cs="Times New Roman"/>
          <w:bCs/>
          <w:iCs/>
          <w:sz w:val="20"/>
          <w:szCs w:val="18"/>
        </w:rPr>
      </w:pPr>
    </w:p>
    <w:p w14:paraId="196C0345" w14:textId="554EAF0B" w:rsidR="0069121A" w:rsidRPr="00CC3FFF" w:rsidRDefault="001604DA" w:rsidP="0069121A">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 xml:space="preserve">7. </w:t>
      </w:r>
      <w:r w:rsidR="00B145D3" w:rsidRPr="00CC3FFF">
        <w:rPr>
          <w:rFonts w:ascii="Times New Roman" w:hAnsi="Times New Roman" w:cs="Times New Roman"/>
          <w:b/>
          <w:bCs/>
          <w:iCs/>
          <w:caps/>
          <w:sz w:val="20"/>
          <w:szCs w:val="18"/>
        </w:rPr>
        <w:t>Mesenchymal stromal cells - derived extracellular vesicles inhibit pyroptosis and protect tissue integrity in models of bronchopulmonary dysplasia</w:t>
      </w:r>
    </w:p>
    <w:p w14:paraId="5FC62A02" w14:textId="77777777" w:rsidR="0069121A" w:rsidRPr="00CC3FFF" w:rsidRDefault="0069121A" w:rsidP="0069121A">
      <w:pPr>
        <w:adjustRightInd w:val="0"/>
        <w:snapToGrid w:val="0"/>
        <w:spacing w:line="260" w:lineRule="atLeast"/>
        <w:rPr>
          <w:rFonts w:ascii="Times New Roman" w:hAnsi="Times New Roman" w:cs="Times New Roman"/>
          <w:bCs/>
          <w:iCs/>
          <w:sz w:val="20"/>
          <w:szCs w:val="18"/>
        </w:rPr>
      </w:pPr>
    </w:p>
    <w:p w14:paraId="5046748E" w14:textId="62FF6677" w:rsidR="0069121A" w:rsidRPr="00CC3FFF" w:rsidRDefault="00B145D3" w:rsidP="0069121A">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P. Bisaccia</w:t>
      </w:r>
      <w:r w:rsidRPr="00CC3FFF">
        <w:rPr>
          <w:rFonts w:ascii="Times New Roman" w:hAnsi="Times New Roman" w:cs="Times New Roman"/>
          <w:bCs/>
          <w:iCs/>
          <w:sz w:val="20"/>
          <w:szCs w:val="18"/>
          <w:vertAlign w:val="superscript"/>
          <w:lang w:val="it-IT"/>
        </w:rPr>
        <w:t>1,2,3</w:t>
      </w:r>
      <w:r w:rsidRPr="00CC3FFF">
        <w:rPr>
          <w:rFonts w:ascii="Times New Roman" w:hAnsi="Times New Roman" w:cs="Times New Roman"/>
          <w:bCs/>
          <w:iCs/>
          <w:sz w:val="20"/>
          <w:szCs w:val="18"/>
          <w:lang w:val="it-IT"/>
        </w:rPr>
        <w:t>, A. Rivosecchi</w:t>
      </w:r>
      <w:r w:rsidRPr="00CC3FFF">
        <w:rPr>
          <w:rFonts w:ascii="Times New Roman" w:hAnsi="Times New Roman" w:cs="Times New Roman"/>
          <w:bCs/>
          <w:iCs/>
          <w:sz w:val="20"/>
          <w:szCs w:val="18"/>
          <w:vertAlign w:val="superscript"/>
          <w:lang w:val="it-IT"/>
        </w:rPr>
        <w:t>1,2,3</w:t>
      </w:r>
      <w:r w:rsidRPr="00CC3FFF">
        <w:rPr>
          <w:rFonts w:ascii="Times New Roman" w:hAnsi="Times New Roman" w:cs="Times New Roman"/>
          <w:bCs/>
          <w:iCs/>
          <w:sz w:val="20"/>
          <w:szCs w:val="18"/>
          <w:lang w:val="it-IT"/>
        </w:rPr>
        <w:t>, R. Moll-Diaz</w:t>
      </w:r>
      <w:r w:rsidRPr="00CC3FFF">
        <w:rPr>
          <w:rFonts w:ascii="Times New Roman" w:hAnsi="Times New Roman" w:cs="Times New Roman"/>
          <w:bCs/>
          <w:iCs/>
          <w:sz w:val="20"/>
          <w:szCs w:val="18"/>
          <w:vertAlign w:val="superscript"/>
          <w:lang w:val="it-IT"/>
        </w:rPr>
        <w:t>1,2,3</w:t>
      </w:r>
      <w:r w:rsidRPr="00CC3FFF">
        <w:rPr>
          <w:rFonts w:ascii="Times New Roman" w:hAnsi="Times New Roman" w:cs="Times New Roman"/>
          <w:bCs/>
          <w:iCs/>
          <w:sz w:val="20"/>
          <w:szCs w:val="18"/>
          <w:lang w:val="it-IT"/>
        </w:rPr>
        <w:t>, E. Bettella</w:t>
      </w:r>
      <w:r w:rsidRPr="00CC3FFF">
        <w:rPr>
          <w:rFonts w:ascii="Times New Roman" w:hAnsi="Times New Roman" w:cs="Times New Roman"/>
          <w:bCs/>
          <w:iCs/>
          <w:sz w:val="20"/>
          <w:szCs w:val="18"/>
          <w:vertAlign w:val="superscript"/>
          <w:lang w:val="it-IT"/>
        </w:rPr>
        <w:t>1,2,3</w:t>
      </w:r>
      <w:r w:rsidRPr="00CC3FFF">
        <w:rPr>
          <w:rFonts w:ascii="Times New Roman" w:hAnsi="Times New Roman" w:cs="Times New Roman"/>
          <w:bCs/>
          <w:iCs/>
          <w:sz w:val="20"/>
          <w:szCs w:val="18"/>
          <w:lang w:val="it-IT"/>
        </w:rPr>
        <w:t>, A. Zaramella</w:t>
      </w:r>
      <w:r w:rsidRPr="00CC3FFF">
        <w:rPr>
          <w:rFonts w:ascii="Times New Roman" w:hAnsi="Times New Roman" w:cs="Times New Roman"/>
          <w:bCs/>
          <w:iCs/>
          <w:sz w:val="20"/>
          <w:szCs w:val="18"/>
          <w:vertAlign w:val="superscript"/>
          <w:lang w:val="it-IT"/>
        </w:rPr>
        <w:t>1,2,3</w:t>
      </w:r>
      <w:r w:rsidRPr="00CC3FFF">
        <w:rPr>
          <w:rFonts w:ascii="Times New Roman" w:hAnsi="Times New Roman" w:cs="Times New Roman"/>
          <w:bCs/>
          <w:iCs/>
          <w:sz w:val="20"/>
          <w:szCs w:val="18"/>
          <w:lang w:val="it-IT"/>
        </w:rPr>
        <w:t>, A. H. D. Hochuli</w:t>
      </w:r>
      <w:r w:rsidRPr="00CC3FFF">
        <w:rPr>
          <w:rFonts w:ascii="Times New Roman" w:hAnsi="Times New Roman" w:cs="Times New Roman"/>
          <w:bCs/>
          <w:iCs/>
          <w:sz w:val="20"/>
          <w:szCs w:val="18"/>
          <w:vertAlign w:val="superscript"/>
          <w:lang w:val="it-IT"/>
        </w:rPr>
        <w:t>1,2,3</w:t>
      </w:r>
      <w:r w:rsidRPr="00CC3FFF">
        <w:rPr>
          <w:rFonts w:ascii="Times New Roman" w:hAnsi="Times New Roman" w:cs="Times New Roman"/>
          <w:bCs/>
          <w:iCs/>
          <w:sz w:val="20"/>
          <w:szCs w:val="18"/>
          <w:lang w:val="it-IT"/>
        </w:rPr>
        <w:t>, M. Duci</w:t>
      </w:r>
      <w:r w:rsidRPr="00CC3FFF">
        <w:rPr>
          <w:rFonts w:ascii="Times New Roman" w:hAnsi="Times New Roman" w:cs="Times New Roman"/>
          <w:bCs/>
          <w:iCs/>
          <w:sz w:val="20"/>
          <w:szCs w:val="18"/>
          <w:vertAlign w:val="superscript"/>
          <w:lang w:val="it-IT"/>
        </w:rPr>
        <w:t>1,2,3</w:t>
      </w:r>
      <w:r w:rsidRPr="00CC3FFF">
        <w:rPr>
          <w:rFonts w:ascii="Times New Roman" w:hAnsi="Times New Roman" w:cs="Times New Roman"/>
          <w:bCs/>
          <w:iCs/>
          <w:sz w:val="20"/>
          <w:szCs w:val="18"/>
          <w:lang w:val="it-IT"/>
        </w:rPr>
        <w:t>, S. Mallavarapu</w:t>
      </w:r>
      <w:r w:rsidRPr="00CC3FFF">
        <w:rPr>
          <w:rFonts w:ascii="Times New Roman" w:hAnsi="Times New Roman" w:cs="Times New Roman"/>
          <w:bCs/>
          <w:iCs/>
          <w:sz w:val="20"/>
          <w:szCs w:val="18"/>
          <w:vertAlign w:val="superscript"/>
          <w:lang w:val="it-IT"/>
        </w:rPr>
        <w:t>1,2,3</w:t>
      </w:r>
      <w:r w:rsidRPr="00CC3FFF">
        <w:rPr>
          <w:rFonts w:ascii="Times New Roman" w:hAnsi="Times New Roman" w:cs="Times New Roman"/>
          <w:bCs/>
          <w:iCs/>
          <w:sz w:val="20"/>
          <w:szCs w:val="18"/>
          <w:lang w:val="it-IT"/>
        </w:rPr>
        <w:t>, M. Jurga</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M. Muraca</w:t>
      </w:r>
      <w:r w:rsidRPr="00CC3FFF">
        <w:rPr>
          <w:rFonts w:ascii="Times New Roman" w:hAnsi="Times New Roman" w:cs="Times New Roman"/>
          <w:bCs/>
          <w:iCs/>
          <w:sz w:val="20"/>
          <w:szCs w:val="18"/>
          <w:vertAlign w:val="superscript"/>
          <w:lang w:val="it-IT"/>
        </w:rPr>
        <w:t>2,3</w:t>
      </w:r>
      <w:r w:rsidRPr="00CC3FFF">
        <w:rPr>
          <w:rFonts w:ascii="Times New Roman" w:hAnsi="Times New Roman" w:cs="Times New Roman"/>
          <w:bCs/>
          <w:iCs/>
          <w:sz w:val="20"/>
          <w:szCs w:val="18"/>
          <w:lang w:val="it-IT"/>
        </w:rPr>
        <w:t>, M. Pozzobon</w:t>
      </w:r>
      <w:r w:rsidRPr="00CC3FFF">
        <w:rPr>
          <w:rFonts w:ascii="Times New Roman" w:hAnsi="Times New Roman" w:cs="Times New Roman"/>
          <w:bCs/>
          <w:iCs/>
          <w:sz w:val="20"/>
          <w:szCs w:val="18"/>
          <w:vertAlign w:val="superscript"/>
          <w:lang w:val="it-IT"/>
        </w:rPr>
        <w:t>1,2,3</w:t>
      </w:r>
    </w:p>
    <w:p w14:paraId="1D80E23B" w14:textId="77777777" w:rsidR="0069121A" w:rsidRPr="00CC3FFF" w:rsidRDefault="0069121A" w:rsidP="0069121A">
      <w:pPr>
        <w:adjustRightInd w:val="0"/>
        <w:snapToGrid w:val="0"/>
        <w:spacing w:line="260" w:lineRule="atLeast"/>
        <w:rPr>
          <w:rFonts w:ascii="Times New Roman" w:hAnsi="Times New Roman" w:cs="Times New Roman"/>
          <w:bCs/>
          <w:iCs/>
          <w:sz w:val="20"/>
          <w:szCs w:val="18"/>
          <w:lang w:val="it-IT"/>
        </w:rPr>
      </w:pPr>
    </w:p>
    <w:p w14:paraId="131150F8" w14:textId="77777777" w:rsidR="00B145D3" w:rsidRPr="00CC3FFF" w:rsidRDefault="00B145D3" w:rsidP="00B145D3">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Stem Cells and Regenerative Lab, Institute of Pediatric Research Città della Speranza, Padua, Italy</w:t>
      </w:r>
    </w:p>
    <w:p w14:paraId="046BCDF5" w14:textId="23D9CF3B" w:rsidR="00B145D3" w:rsidRPr="00CC3FFF" w:rsidRDefault="00B145D3" w:rsidP="00B145D3">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Institute of Pediatric Research Cit</w:t>
      </w:r>
      <w:r w:rsidR="00120F1C" w:rsidRPr="00CC3FFF">
        <w:rPr>
          <w:rFonts w:ascii="Times New Roman" w:hAnsi="Times New Roman" w:cs="Times New Roman"/>
          <w:bCs/>
          <w:iCs/>
          <w:sz w:val="20"/>
          <w:szCs w:val="18"/>
          <w:lang w:val="it-IT"/>
        </w:rPr>
        <w:t>tà della Speranza, Padua, Italy</w:t>
      </w:r>
    </w:p>
    <w:p w14:paraId="6F0EB1C8" w14:textId="7390D33A" w:rsidR="00B145D3" w:rsidRPr="00CC3FFF" w:rsidRDefault="00B145D3" w:rsidP="00B145D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Dep</w:t>
      </w:r>
      <w:r w:rsidR="0060193B"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Women and Children’s Health, Università di Padua,</w:t>
      </w:r>
      <w:r w:rsidR="00EE5F9C">
        <w:rPr>
          <w:rFonts w:ascii="Times New Roman" w:hAnsi="Times New Roman" w:cs="Times New Roman"/>
          <w:bCs/>
          <w:iCs/>
          <w:sz w:val="20"/>
          <w:szCs w:val="18"/>
        </w:rPr>
        <w:t xml:space="preserve"> Padua,</w:t>
      </w:r>
      <w:r w:rsidRPr="00CC3FFF">
        <w:rPr>
          <w:rFonts w:ascii="Times New Roman" w:hAnsi="Times New Roman" w:cs="Times New Roman"/>
          <w:bCs/>
          <w:iCs/>
          <w:sz w:val="20"/>
          <w:szCs w:val="18"/>
        </w:rPr>
        <w:t xml:space="preserve"> Italy</w:t>
      </w:r>
    </w:p>
    <w:p w14:paraId="038DFDE4" w14:textId="16630049" w:rsidR="0069121A" w:rsidRPr="00CC3FFF" w:rsidRDefault="00B145D3" w:rsidP="00B145D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4</w:t>
      </w:r>
      <w:r w:rsidRPr="00CC3FFF">
        <w:rPr>
          <w:rFonts w:ascii="Times New Roman" w:hAnsi="Times New Roman" w:cs="Times New Roman"/>
          <w:bCs/>
          <w:iCs/>
          <w:sz w:val="20"/>
          <w:szCs w:val="18"/>
        </w:rPr>
        <w:t>EXO Biologics, Belgium</w:t>
      </w:r>
    </w:p>
    <w:p w14:paraId="52911EE9" w14:textId="77777777" w:rsidR="0069121A" w:rsidRPr="00CC3FFF" w:rsidRDefault="0069121A" w:rsidP="0069121A">
      <w:pPr>
        <w:adjustRightInd w:val="0"/>
        <w:snapToGrid w:val="0"/>
        <w:spacing w:line="260" w:lineRule="atLeast"/>
        <w:rPr>
          <w:rFonts w:ascii="Times New Roman" w:hAnsi="Times New Roman" w:cs="Times New Roman"/>
          <w:bCs/>
          <w:iCs/>
          <w:sz w:val="20"/>
          <w:szCs w:val="18"/>
        </w:rPr>
      </w:pPr>
    </w:p>
    <w:p w14:paraId="23442958" w14:textId="22F5A9D8" w:rsidR="00B145D3" w:rsidRPr="00CC3FFF" w:rsidRDefault="00B145D3" w:rsidP="00B145D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 xml:space="preserve">Bronchopulmonary dysplasia (BPD) remains the most common complication of extreme prematurity, driven by prolonged exposure to hyperoxia that triggers oxidative stress and inflammation in </w:t>
      </w:r>
      <w:r w:rsidRPr="00CC3FFF">
        <w:rPr>
          <w:rFonts w:ascii="Times New Roman" w:hAnsi="Times New Roman" w:cs="Times New Roman"/>
          <w:bCs/>
          <w:iCs/>
          <w:sz w:val="20"/>
          <w:szCs w:val="18"/>
        </w:rPr>
        <w:lastRenderedPageBreak/>
        <w:t>both lung and brain. Pyroptosis, an inflammatory form of programmed cell death mediated by inflammasome activation, Caspase-1, Gasdermin D (GSDMD), and pro-inflammatory cytokine release, has emerged as a critical contributor to tissue injury. Mesenchymal stromal cell–derived extracellular vesicles (MSC-EVs) exert potent antioxidant and anti-inflammatory effects in BPD models, yet their ability to modulate pyroptosis is poorly defined. Here, we investigated whether Good Manufacturing Practice (GMP) grade MSC-EVs can suppress pyroptosis in experimental in vivo and in vitro models of BPD.</w:t>
      </w:r>
    </w:p>
    <w:p w14:paraId="5494D468" w14:textId="64ACECE8" w:rsidR="00B145D3" w:rsidRPr="00CC3FFF" w:rsidRDefault="00B145D3" w:rsidP="00B145D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Hyperoxia-exposed neonatal rats were injected intratracheally with MSC-EVs or PBS. Lung and brain tissues were analyzed for oxidative stress, Nuclear factor erythroid 2-related factor 2 (NRF2) signaling, and activation of the pyroptosis pathway. Inflammatory responses were profiled using a cytokine array. In parallel, human lung organoid-like composed of human lung fibroblasts and alveolar epithelial cells, were exposed to hydrogen peroxide or rotenone to induce oxidative stress and were treated with MSC-EVs or vitamin C. Mitochondrial Reactive Oxygen Species (ROS), pyroptosis-related proteins, cell viability, and IL-18 in supernatants were quantified.</w:t>
      </w:r>
    </w:p>
    <w:p w14:paraId="58924CFE" w14:textId="1FF4ADBE" w:rsidR="00B145D3" w:rsidRPr="00CC3FFF" w:rsidRDefault="00B145D3" w:rsidP="00B145D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MSC-EV administration promoted NRF2 nuclear localization and strengthened antioxidant responses in both the lung and brain, leading to pronounced inhibition of inflammasome activity. This effect was associated with reduced Caspase-1 activation, diminished GSDMD pore formation, and lower IL-18 levels, along with a broad suppression of inflammatory mediators as revealed by cytokine array analysis. In human lung 3D model, MSC-EVs markedly alleviated mitochondrial oxidative stress, suppressed pyroptosis, decreased cytokine secretion, and enhanced cell viability.</w:t>
      </w:r>
    </w:p>
    <w:p w14:paraId="04D33D2C" w14:textId="132F2EB8" w:rsidR="0069121A" w:rsidRPr="00CC3FFF" w:rsidRDefault="00B145D3" w:rsidP="00B145D3">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Our findings identify pyroptosis as a pivotal driver of hyperoxia-induced lung and brain injury in BPD. By boosting NRF2-dependent antioxidant responses and blocking pyroptosis, MSC-EVs preserve tissue integrity and cellular survival in in vivo and human 3D models. These results highlight MSC-EVs as a compelling, mechanism-based therapeutic strategy to limit inflammation and protect organ development in premature infants with BPD.</w:t>
      </w:r>
    </w:p>
    <w:p w14:paraId="6AB1AA8B" w14:textId="6483A10C" w:rsidR="00EA75BE" w:rsidRPr="00CC3FFF" w:rsidRDefault="00EA75BE" w:rsidP="0069121A">
      <w:pPr>
        <w:adjustRightInd w:val="0"/>
        <w:snapToGrid w:val="0"/>
        <w:spacing w:line="260" w:lineRule="atLeast"/>
        <w:rPr>
          <w:rFonts w:ascii="Times New Roman" w:hAnsi="Times New Roman" w:cs="Times New Roman"/>
          <w:bCs/>
          <w:iCs/>
          <w:sz w:val="20"/>
          <w:szCs w:val="18"/>
        </w:rPr>
      </w:pPr>
    </w:p>
    <w:p w14:paraId="5FE3ECCE" w14:textId="02EB731C" w:rsidR="00EA75BE" w:rsidRPr="00CC3FFF" w:rsidRDefault="001604DA" w:rsidP="00EA75BE">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 xml:space="preserve">8. </w:t>
      </w:r>
      <w:r w:rsidR="0060193B" w:rsidRPr="00CC3FFF">
        <w:rPr>
          <w:rFonts w:ascii="Times New Roman" w:hAnsi="Times New Roman" w:cs="Times New Roman"/>
          <w:b/>
          <w:bCs/>
          <w:iCs/>
          <w:caps/>
          <w:sz w:val="20"/>
          <w:szCs w:val="18"/>
        </w:rPr>
        <w:t>KLHL14 and its X1 isoform act as central regulators of epithelial plasticity by controlling epithelial-mesenchymal transition in amniotic epithelial stem cells and hepatocarcinoma cells</w:t>
      </w:r>
    </w:p>
    <w:p w14:paraId="46009305" w14:textId="77777777" w:rsidR="00EA75BE" w:rsidRPr="00CC3FFF" w:rsidRDefault="00EA75BE" w:rsidP="00EA75BE">
      <w:pPr>
        <w:adjustRightInd w:val="0"/>
        <w:snapToGrid w:val="0"/>
        <w:spacing w:line="260" w:lineRule="atLeast"/>
        <w:rPr>
          <w:rFonts w:ascii="Times New Roman" w:hAnsi="Times New Roman" w:cs="Times New Roman"/>
          <w:bCs/>
          <w:iCs/>
          <w:sz w:val="20"/>
          <w:szCs w:val="18"/>
        </w:rPr>
      </w:pPr>
    </w:p>
    <w:p w14:paraId="05CC676E" w14:textId="70F07125" w:rsidR="00EA75BE" w:rsidRPr="00CC3FFF" w:rsidRDefault="0060193B" w:rsidP="00EA75BE">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A. Canciello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V. Di Giulio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R. Citeroni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E. Carletti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A. De Luca</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 Turriani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O. Di Giacinto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B. Barboni</w:t>
      </w:r>
      <w:r w:rsidRPr="00CC3FFF">
        <w:rPr>
          <w:rFonts w:ascii="Times New Roman" w:hAnsi="Times New Roman" w:cs="Times New Roman"/>
          <w:bCs/>
          <w:iCs/>
          <w:sz w:val="20"/>
          <w:szCs w:val="18"/>
          <w:vertAlign w:val="superscript"/>
          <w:lang w:val="it-IT"/>
        </w:rPr>
        <w:t>1</w:t>
      </w:r>
    </w:p>
    <w:p w14:paraId="1639E362" w14:textId="77777777" w:rsidR="00EA75BE" w:rsidRPr="00CC3FFF" w:rsidRDefault="00EA75BE" w:rsidP="00EA75BE">
      <w:pPr>
        <w:adjustRightInd w:val="0"/>
        <w:snapToGrid w:val="0"/>
        <w:spacing w:line="260" w:lineRule="atLeast"/>
        <w:rPr>
          <w:rFonts w:ascii="Times New Roman" w:hAnsi="Times New Roman" w:cs="Times New Roman"/>
          <w:bCs/>
          <w:iCs/>
          <w:sz w:val="20"/>
          <w:szCs w:val="18"/>
          <w:lang w:val="it-IT"/>
        </w:rPr>
      </w:pPr>
    </w:p>
    <w:p w14:paraId="0AB9E2AB" w14:textId="4B88B2FF" w:rsidR="0060193B" w:rsidRPr="00CC3FFF" w:rsidRDefault="0060193B" w:rsidP="0060193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Pr="00CC3FFF">
        <w:rPr>
          <w:rFonts w:ascii="Times New Roman" w:hAnsi="Times New Roman" w:cs="Times New Roman"/>
          <w:bCs/>
          <w:iCs/>
          <w:sz w:val="20"/>
          <w:szCs w:val="18"/>
        </w:rPr>
        <w:t>Department of Bioscience and Technology for Food, Agriculture and Environment, University of Teramo, Teramo, Italy</w:t>
      </w:r>
    </w:p>
    <w:p w14:paraId="125FFBB3" w14:textId="5621D0CF" w:rsidR="00EA75BE" w:rsidRPr="00CC3FFF" w:rsidRDefault="0060193B" w:rsidP="0060193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 xml:space="preserve">Department of Medical, Oral and Biotechnological Sciences, and Center for Advanced Studies and Technology (CAST), </w:t>
      </w:r>
      <w:r w:rsidRPr="00CC3FFF">
        <w:rPr>
          <w:rFonts w:ascii="Times New Roman" w:hAnsi="Times New Roman" w:cs="Times New Roman" w:hint="eastAsia"/>
          <w:bCs/>
          <w:iCs/>
          <w:sz w:val="20"/>
          <w:szCs w:val="18"/>
        </w:rPr>
        <w:t>G. D</w:t>
      </w:r>
      <w:r w:rsidRPr="00CC3FFF">
        <w:rPr>
          <w:rFonts w:ascii="Times New Roman" w:hAnsi="Times New Roman" w:cs="Times New Roman"/>
          <w:bCs/>
          <w:iCs/>
          <w:sz w:val="20"/>
          <w:szCs w:val="18"/>
        </w:rPr>
        <w:t>’</w:t>
      </w:r>
      <w:r w:rsidRPr="00CC3FFF">
        <w:rPr>
          <w:rFonts w:ascii="Times New Roman" w:hAnsi="Times New Roman" w:cs="Times New Roman" w:hint="eastAsia"/>
          <w:bCs/>
          <w:iCs/>
          <w:sz w:val="20"/>
          <w:szCs w:val="18"/>
        </w:rPr>
        <w:t>Annunzio University Chieti-Pescara, Chieti, Italy</w:t>
      </w:r>
    </w:p>
    <w:p w14:paraId="64E2A958" w14:textId="77777777" w:rsidR="00EA75BE" w:rsidRPr="00CC3FFF" w:rsidRDefault="00EA75BE" w:rsidP="00EA75BE">
      <w:pPr>
        <w:adjustRightInd w:val="0"/>
        <w:snapToGrid w:val="0"/>
        <w:spacing w:line="260" w:lineRule="atLeast"/>
        <w:rPr>
          <w:rFonts w:ascii="Times New Roman" w:hAnsi="Times New Roman" w:cs="Times New Roman"/>
          <w:bCs/>
          <w:iCs/>
          <w:sz w:val="20"/>
          <w:szCs w:val="18"/>
        </w:rPr>
      </w:pPr>
    </w:p>
    <w:p w14:paraId="04DCB739" w14:textId="6FAA3D1F" w:rsidR="0060193B" w:rsidRPr="00CC3FFF" w:rsidRDefault="0060193B" w:rsidP="0060193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Epithelial–mesenchymal transition (EMT) is a fundamental mechanism governing cellular plasticity during development, tissue regeneration and cancer progression. KLHL14, a member of the Kelch-like E3 ubiquitin ligase family, has been associated with EMT inhibition in malignant mesothelioma; however, while its full-length form has been partially characterized, the biological function of its splice variant X1 has remained entirely unexplored at the experimental level. This study aimed to define</w:t>
      </w:r>
    </w:p>
    <w:p w14:paraId="226DACAC" w14:textId="77777777" w:rsidR="0060193B" w:rsidRPr="00CC3FFF" w:rsidRDefault="0060193B" w:rsidP="0060193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how KLHL14 and its X1 isoform cooperatively regulate epithelial plasticity by modulating EMT in physiological and pathological epithelial contexts.</w:t>
      </w:r>
    </w:p>
    <w:p w14:paraId="04D4920A" w14:textId="50460EA5" w:rsidR="0060193B" w:rsidRPr="00CC3FFF" w:rsidRDefault="0060193B" w:rsidP="0060193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The role of KLHL14 and X1 was investigated using two complementary models: amniotic epithelial stem cells, representing a physiological EMT context, and HepG2 hepatocarcinoma cells, characterized by high endogenous KLHL14 expression. Gain- and loss-of-function approaches were employed through isoform-specific overexpression and silencing. Protein localization, interaction and functional outcomes were assessed by immunofluorescence, co-immunoprecipitation and phenotypic analyses, and validated in situ in the native amniotic membrane.</w:t>
      </w:r>
    </w:p>
    <w:p w14:paraId="33DDE873" w14:textId="14B12FF5" w:rsidR="0060193B" w:rsidRPr="00CC3FFF" w:rsidRDefault="0060193B" w:rsidP="0060193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 xml:space="preserve">KLHL14 and X1 emerged as key and non-redundant regulators of epithelial plasticity through </w:t>
      </w:r>
      <w:r w:rsidRPr="00CC3FFF">
        <w:rPr>
          <w:rFonts w:ascii="Times New Roman" w:hAnsi="Times New Roman" w:cs="Times New Roman"/>
          <w:bCs/>
          <w:iCs/>
          <w:sz w:val="20"/>
          <w:szCs w:val="18"/>
        </w:rPr>
        <w:lastRenderedPageBreak/>
        <w:t>coordinated control of E-cadherin dynamics. Full-length KLHL14 predominantly localized at adherens junctions, promoting E-cadherin turnover through degradation pathways, whereas X1 displayed an intracellular distribution consistent with enhanced de novo E-cadherin synthesis. Disruption of either isoform compromised epithelial integrity, increased cell proliferation and facilitated EMT. Notably, these effects were conserved across both amniotic epithelial stem cells and hepatocarcinoma cells, indicating a shared regulatory mechanism underlying physiological and pathological epithelial plasticity.</w:t>
      </w:r>
    </w:p>
    <w:p w14:paraId="28C62C0B" w14:textId="5030BD69" w:rsidR="00EA75BE" w:rsidRPr="00CC3FFF" w:rsidRDefault="0060193B" w:rsidP="0060193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This study identifies KLHL14 and its X1 isoform as central drivers of epithelial plasticity, acting through fine-tuned and opposing regulation of EMT. By integrating mechanisms that balance epithelial stability and transition, this regulatory axis represents a pivotal determinant of cell fate in stem cell biology and cancer, with potential implications for regenerative strategies and therapeutic modulation of epithelial plasticity.</w:t>
      </w:r>
    </w:p>
    <w:p w14:paraId="768566A2" w14:textId="03CA4C5E" w:rsidR="00EA75BE" w:rsidRPr="00CC3FFF" w:rsidRDefault="00EA75BE" w:rsidP="00EA75BE">
      <w:pPr>
        <w:adjustRightInd w:val="0"/>
        <w:snapToGrid w:val="0"/>
        <w:spacing w:line="260" w:lineRule="atLeast"/>
        <w:rPr>
          <w:rFonts w:ascii="Times New Roman" w:hAnsi="Times New Roman" w:cs="Times New Roman"/>
          <w:bCs/>
          <w:iCs/>
          <w:sz w:val="20"/>
          <w:szCs w:val="18"/>
        </w:rPr>
      </w:pPr>
    </w:p>
    <w:p w14:paraId="24C1529B" w14:textId="1210E4BD" w:rsidR="00EA75BE" w:rsidRPr="00CC3FFF" w:rsidRDefault="001604DA" w:rsidP="00EA75BE">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 xml:space="preserve">9. </w:t>
      </w:r>
      <w:r w:rsidR="00483A41" w:rsidRPr="00CC3FFF">
        <w:rPr>
          <w:rFonts w:ascii="Times New Roman" w:hAnsi="Times New Roman" w:cs="Times New Roman"/>
          <w:b/>
          <w:bCs/>
          <w:iCs/>
          <w:caps/>
          <w:sz w:val="20"/>
          <w:szCs w:val="18"/>
        </w:rPr>
        <w:t>Hypoxia-driven functional modulation of canine umbilical cord–derived mesenchymal stromal cells: implications for pulmonary vascular regeneration</w:t>
      </w:r>
    </w:p>
    <w:p w14:paraId="278AD036" w14:textId="77777777" w:rsidR="00EA75BE" w:rsidRPr="00CC3FFF" w:rsidRDefault="00EA75BE" w:rsidP="00EA75BE">
      <w:pPr>
        <w:adjustRightInd w:val="0"/>
        <w:snapToGrid w:val="0"/>
        <w:spacing w:line="260" w:lineRule="atLeast"/>
        <w:rPr>
          <w:rFonts w:ascii="Times New Roman" w:hAnsi="Times New Roman" w:cs="Times New Roman"/>
          <w:bCs/>
          <w:iCs/>
          <w:sz w:val="20"/>
          <w:szCs w:val="18"/>
        </w:rPr>
      </w:pPr>
    </w:p>
    <w:p w14:paraId="13628189" w14:textId="50DF7FA4" w:rsidR="00EA75BE" w:rsidRPr="00CC3FFF" w:rsidRDefault="00483A41" w:rsidP="00EA75BE">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A. Capone</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B. Merlo</w:t>
      </w:r>
      <w:r w:rsidRPr="00CC3FFF">
        <w:rPr>
          <w:rFonts w:ascii="Times New Roman" w:hAnsi="Times New Roman" w:cs="Times New Roman"/>
          <w:bCs/>
          <w:iCs/>
          <w:sz w:val="20"/>
          <w:szCs w:val="18"/>
          <w:vertAlign w:val="superscript"/>
          <w:lang w:val="it-IT"/>
        </w:rPr>
        <w:t>1,3</w:t>
      </w:r>
      <w:r w:rsidRPr="00CC3FFF">
        <w:rPr>
          <w:rFonts w:ascii="Times New Roman" w:hAnsi="Times New Roman" w:cs="Times New Roman"/>
          <w:bCs/>
          <w:iCs/>
          <w:sz w:val="20"/>
          <w:szCs w:val="18"/>
          <w:lang w:val="it-IT"/>
        </w:rPr>
        <w:t>, V. A. Bardassarro</w:t>
      </w:r>
      <w:r w:rsidRPr="00CC3FFF">
        <w:rPr>
          <w:rFonts w:ascii="Times New Roman" w:hAnsi="Times New Roman" w:cs="Times New Roman"/>
          <w:bCs/>
          <w:iCs/>
          <w:sz w:val="20"/>
          <w:szCs w:val="18"/>
          <w:vertAlign w:val="superscript"/>
          <w:lang w:val="it-IT"/>
        </w:rPr>
        <w:t>1,2,3</w:t>
      </w:r>
      <w:r w:rsidRPr="00CC3FFF">
        <w:rPr>
          <w:rFonts w:ascii="Times New Roman" w:hAnsi="Times New Roman" w:cs="Times New Roman"/>
          <w:bCs/>
          <w:iCs/>
          <w:sz w:val="20"/>
          <w:szCs w:val="18"/>
          <w:lang w:val="it-IT"/>
        </w:rPr>
        <w:t>, E. Iacono</w:t>
      </w:r>
      <w:r w:rsidRPr="00CC3FFF">
        <w:rPr>
          <w:rFonts w:ascii="Times New Roman" w:hAnsi="Times New Roman" w:cs="Times New Roman"/>
          <w:bCs/>
          <w:iCs/>
          <w:sz w:val="20"/>
          <w:szCs w:val="18"/>
          <w:vertAlign w:val="superscript"/>
          <w:lang w:val="it-IT"/>
        </w:rPr>
        <w:t>1,3</w:t>
      </w:r>
    </w:p>
    <w:p w14:paraId="1550FCA1" w14:textId="77777777" w:rsidR="00EA75BE" w:rsidRPr="00CC3FFF" w:rsidRDefault="00EA75BE" w:rsidP="00EA75BE">
      <w:pPr>
        <w:adjustRightInd w:val="0"/>
        <w:snapToGrid w:val="0"/>
        <w:spacing w:line="260" w:lineRule="atLeast"/>
        <w:rPr>
          <w:rFonts w:ascii="Times New Roman" w:hAnsi="Times New Roman" w:cs="Times New Roman"/>
          <w:bCs/>
          <w:iCs/>
          <w:sz w:val="20"/>
          <w:szCs w:val="18"/>
          <w:lang w:val="it-IT"/>
        </w:rPr>
      </w:pPr>
    </w:p>
    <w:p w14:paraId="2CC704CA" w14:textId="549AA09B" w:rsidR="00483A41" w:rsidRPr="00CC3FFF" w:rsidRDefault="00483A41" w:rsidP="00483A4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Pr="00CC3FFF">
        <w:rPr>
          <w:rFonts w:ascii="Times New Roman" w:hAnsi="Times New Roman" w:cs="Times New Roman"/>
          <w:bCs/>
          <w:iCs/>
          <w:sz w:val="20"/>
          <w:szCs w:val="18"/>
        </w:rPr>
        <w:t>Department of Veterinary Medical Sciences (DIMEVET), University of Bologna, Ozzano dell’Emilia, Bologna, Italy</w:t>
      </w:r>
    </w:p>
    <w:p w14:paraId="6A0F7267" w14:textId="77777777" w:rsidR="00483A41" w:rsidRPr="00CC3FFF" w:rsidRDefault="00483A41" w:rsidP="00483A4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IRET Foundation, Ozzano dell’Emilia, Bologna, Italy</w:t>
      </w:r>
    </w:p>
    <w:p w14:paraId="6F8936B1" w14:textId="6DA4BC05" w:rsidR="00EA75BE" w:rsidRPr="00CC3FFF" w:rsidRDefault="00483A41" w:rsidP="00483A4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Interdepartmental Centre for Industrial Research in Health Sciences and Technology ICIR-HST, University of Bologna, Bologna, Italy</w:t>
      </w:r>
    </w:p>
    <w:p w14:paraId="48C2CE54" w14:textId="77777777" w:rsidR="007C55B4" w:rsidRPr="00CC3FFF" w:rsidRDefault="007C55B4" w:rsidP="00EA75BE">
      <w:pPr>
        <w:adjustRightInd w:val="0"/>
        <w:snapToGrid w:val="0"/>
        <w:spacing w:line="260" w:lineRule="atLeast"/>
        <w:rPr>
          <w:rFonts w:ascii="Times New Roman" w:hAnsi="Times New Roman" w:cs="Times New Roman"/>
          <w:bCs/>
          <w:iCs/>
          <w:sz w:val="20"/>
          <w:szCs w:val="18"/>
        </w:rPr>
      </w:pPr>
    </w:p>
    <w:p w14:paraId="54831971" w14:textId="778554FC" w:rsidR="00483A41" w:rsidRPr="00CC3FFF" w:rsidRDefault="00483A41" w:rsidP="00483A4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OBJECTIVE: Pulmonary arterial hypertension (PAH) is a progressive vascular disease characterized by endothelial dysfunction and maladaptive vascular remodeling, leading to increased right ventricular afterload. Hypoxia plays a key role in disease progression by promoting oxidative stress and endothelial injury. Mesenchymal stromal cell (MSC)-based regenerative strategies represent a promising approach to restore vascular homeostasis through paracrine and angiogenic mechanisms. While bone marrow– and adipose tissue–derived MSCs are commonly used, their clinical applicability is limited by invasive harvesting, age-related decline in cell yield and function, and reduced proliferation. Umbilical cord–derived MSCs (UC-MSCs) represent a valuable alternative, obtained from discarded tissues without ethical concerns, with higher proliferation, differentiation capacity, expansion stability, and lower immunogenicity.</w:t>
      </w:r>
    </w:p>
    <w:p w14:paraId="4473EF0C" w14:textId="77777777" w:rsidR="00483A41" w:rsidRPr="00CC3FFF" w:rsidRDefault="00483A41" w:rsidP="00483A4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This study aimed to isolate and characterize canine UC-MSCs and to evaluate their biological responses to hypoxia in a vascular regenerative context. Cells were assessed for growth kinetics, clonogenicity, cell–cell adhesion, migration, tri-lineage differentiation capacity, and surface marker expression.</w:t>
      </w:r>
    </w:p>
    <w:p w14:paraId="2EA687E3" w14:textId="2A93E22D" w:rsidR="00483A41" w:rsidRPr="00CC3FFF" w:rsidRDefault="00483A41" w:rsidP="00483A4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MATERIALS AND METHODS: Cultures were exposed to normoxia or hypoxia (5% O</w:t>
      </w:r>
      <w:r w:rsidRPr="00CC3FFF">
        <w:rPr>
          <w:rFonts w:ascii="Cambria Math" w:hAnsi="Cambria Math" w:cs="Cambria Math"/>
          <w:bCs/>
          <w:iCs/>
          <w:sz w:val="20"/>
          <w:szCs w:val="18"/>
        </w:rPr>
        <w:t>₂</w:t>
      </w:r>
      <w:r w:rsidRPr="00CC3FFF">
        <w:rPr>
          <w:rFonts w:ascii="Times New Roman" w:hAnsi="Times New Roman" w:cs="Times New Roman"/>
          <w:bCs/>
          <w:iCs/>
          <w:sz w:val="20"/>
          <w:szCs w:val="18"/>
        </w:rPr>
        <w:t xml:space="preserve"> for 6 and 24 h). Cell viability, intracellular reactive oxygen species (ROS) level, and mitochondrial membrane potential (MMP) were evaluated using MTT, H</w:t>
      </w:r>
      <w:r w:rsidRPr="00CC3FFF">
        <w:rPr>
          <w:rFonts w:ascii="Cambria Math" w:hAnsi="Cambria Math" w:cs="Cambria Math"/>
          <w:bCs/>
          <w:iCs/>
          <w:sz w:val="20"/>
          <w:szCs w:val="18"/>
        </w:rPr>
        <w:t>₂</w:t>
      </w:r>
      <w:r w:rsidRPr="00CC3FFF">
        <w:rPr>
          <w:rFonts w:ascii="Times New Roman" w:hAnsi="Times New Roman" w:cs="Times New Roman"/>
          <w:bCs/>
          <w:iCs/>
          <w:sz w:val="20"/>
          <w:szCs w:val="18"/>
        </w:rPr>
        <w:t>DCFDA, and JC-1 assays. Angiogenic potential was assessed by in vitro tube formation assay followed by quantitative morphometric analysis using phalloidin staining and High Content Screening (HCS).</w:t>
      </w:r>
    </w:p>
    <w:p w14:paraId="450AF845" w14:textId="77777777" w:rsidR="00483A41" w:rsidRPr="00CC3FFF" w:rsidRDefault="00483A41" w:rsidP="00483A4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RESULTS: Canine UC-MSCs showed a consistent doubling time of approximately 1.5 days and expressed mesenchymal markers (CD90, CD44), while lacking hematopoietic (CD34, CD45) and MHC class II (DLA-DQA1, DLA-DRA1) markers. Cells showed clonogenicity, stable 3D spheroid formation, strong migration, and successfully differentiated into adipogenic, osteogenic, and chondrogenic lineages. Hypoxia slightly increased viability at 24 h, reduced ROS level in most samples, and induced transient mitochondrial alterations at 6 h that normalized by 24 h. Hypoxic UC-MSCs showed enhanced formation of tubular-like structures, suggesting improved angiogenic potential and a possible perivascular-like role.</w:t>
      </w:r>
    </w:p>
    <w:p w14:paraId="02E057EB" w14:textId="24895EEA" w:rsidR="00EA75BE" w:rsidRPr="00CC3FFF" w:rsidRDefault="00483A41" w:rsidP="00483A4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CONCLUSIONS: Overall, canine UC-MSCs exhibit robust functional properties and adapt to hypoxia relevant to pulmonary vascular disease, supporting their potential use in regenerative strategies for PAH.</w:t>
      </w:r>
    </w:p>
    <w:p w14:paraId="12B47ECC" w14:textId="02794956" w:rsidR="00EA75BE" w:rsidRPr="00CC3FFF" w:rsidRDefault="00EA75BE" w:rsidP="00EA75BE">
      <w:pPr>
        <w:adjustRightInd w:val="0"/>
        <w:snapToGrid w:val="0"/>
        <w:spacing w:line="260" w:lineRule="atLeast"/>
        <w:rPr>
          <w:rFonts w:ascii="Times New Roman" w:hAnsi="Times New Roman" w:cs="Times New Roman"/>
          <w:bCs/>
          <w:iCs/>
          <w:sz w:val="20"/>
          <w:szCs w:val="18"/>
        </w:rPr>
      </w:pPr>
    </w:p>
    <w:p w14:paraId="3E7AC956" w14:textId="7F901E23" w:rsidR="00EA75BE" w:rsidRPr="00CC3FFF" w:rsidRDefault="001604DA" w:rsidP="00EA75BE">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 xml:space="preserve">10. </w:t>
      </w:r>
      <w:r w:rsidR="0090055F" w:rsidRPr="00CC3FFF">
        <w:rPr>
          <w:rFonts w:ascii="Times New Roman" w:hAnsi="Times New Roman" w:cs="Times New Roman"/>
          <w:b/>
          <w:bCs/>
          <w:iCs/>
          <w:caps/>
          <w:sz w:val="20"/>
          <w:szCs w:val="18"/>
        </w:rPr>
        <w:t xml:space="preserve">Moda project: a randomized controlled trial to evaluate the decellularized human dermis in combination with orthobiologic </w:t>
      </w:r>
      <w:r w:rsidR="0090055F" w:rsidRPr="00CC3FFF">
        <w:rPr>
          <w:rFonts w:ascii="Times New Roman" w:hAnsi="Times New Roman" w:cs="Times New Roman"/>
          <w:b/>
          <w:bCs/>
          <w:iCs/>
          <w:caps/>
          <w:sz w:val="20"/>
          <w:szCs w:val="18"/>
        </w:rPr>
        <w:lastRenderedPageBreak/>
        <w:t>stimuli for the arthroscopic augmentation of massive rotator cuff tears</w:t>
      </w:r>
    </w:p>
    <w:p w14:paraId="078AB798" w14:textId="77777777" w:rsidR="00EA75BE" w:rsidRPr="00CC3FFF" w:rsidRDefault="00EA75BE" w:rsidP="00EA75BE">
      <w:pPr>
        <w:adjustRightInd w:val="0"/>
        <w:snapToGrid w:val="0"/>
        <w:spacing w:line="260" w:lineRule="atLeast"/>
        <w:rPr>
          <w:rFonts w:ascii="Times New Roman" w:hAnsi="Times New Roman" w:cs="Times New Roman"/>
          <w:bCs/>
          <w:iCs/>
          <w:sz w:val="20"/>
          <w:szCs w:val="18"/>
        </w:rPr>
      </w:pPr>
    </w:p>
    <w:p w14:paraId="4B2F449F" w14:textId="1867CD9E" w:rsidR="0090055F" w:rsidRPr="00CC3FFF" w:rsidRDefault="0090055F" w:rsidP="0090055F">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M. Carniato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G. Codispoti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S. Pagani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G. Giavaresi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 Cavallo</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V. Brunello</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E. Guerra</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M. Tschon</w:t>
      </w:r>
      <w:r w:rsidRPr="00CC3FFF">
        <w:rPr>
          <w:rFonts w:ascii="Times New Roman" w:hAnsi="Times New Roman" w:cs="Times New Roman"/>
          <w:bCs/>
          <w:iCs/>
          <w:sz w:val="20"/>
          <w:szCs w:val="18"/>
          <w:vertAlign w:val="superscript"/>
          <w:lang w:val="it-IT"/>
        </w:rPr>
        <w:t>2</w:t>
      </w:r>
    </w:p>
    <w:p w14:paraId="091691B4" w14:textId="77777777" w:rsidR="00EA75BE" w:rsidRPr="00CC3FFF" w:rsidRDefault="00EA75BE" w:rsidP="00EA75BE">
      <w:pPr>
        <w:adjustRightInd w:val="0"/>
        <w:snapToGrid w:val="0"/>
        <w:spacing w:line="260" w:lineRule="atLeast"/>
        <w:rPr>
          <w:rFonts w:ascii="Times New Roman" w:hAnsi="Times New Roman" w:cs="Times New Roman"/>
          <w:bCs/>
          <w:iCs/>
          <w:sz w:val="20"/>
          <w:szCs w:val="18"/>
          <w:lang w:val="it-IT"/>
        </w:rPr>
      </w:pPr>
    </w:p>
    <w:p w14:paraId="5985E952" w14:textId="461EE5C9" w:rsidR="0090055F" w:rsidRPr="00CC3FFF" w:rsidRDefault="0090055F" w:rsidP="0090055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Pr="00CC3FFF">
        <w:rPr>
          <w:rFonts w:ascii="Times New Roman" w:hAnsi="Times New Roman" w:cs="Times New Roman"/>
          <w:bCs/>
          <w:iCs/>
          <w:sz w:val="20"/>
          <w:szCs w:val="18"/>
        </w:rPr>
        <w:t>Department of Veterinary Medical Sciences, University of Bologna, Bologna, Italy</w:t>
      </w:r>
    </w:p>
    <w:p w14:paraId="0154C470" w14:textId="77777777" w:rsidR="0090055F" w:rsidRPr="00CC3FFF" w:rsidRDefault="0090055F" w:rsidP="0090055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Surgical Sciences and Technologies, IRCCS Istituto Ortopedico Rizzoli, Bologna, Italy</w:t>
      </w:r>
    </w:p>
    <w:p w14:paraId="41E04D0E" w14:textId="2C00A167" w:rsidR="00EA75BE" w:rsidRPr="00CC3FFF" w:rsidRDefault="0090055F" w:rsidP="0090055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Shoulder and Elbow Surgery, IRCCS Istituto Ortopedico Rizzoli, Bologna, Italy</w:t>
      </w:r>
    </w:p>
    <w:p w14:paraId="6AED46DF" w14:textId="77777777" w:rsidR="00EA75BE" w:rsidRPr="00CC3FFF" w:rsidRDefault="00EA75BE" w:rsidP="00EA75BE">
      <w:pPr>
        <w:adjustRightInd w:val="0"/>
        <w:snapToGrid w:val="0"/>
        <w:spacing w:line="260" w:lineRule="atLeast"/>
        <w:rPr>
          <w:rFonts w:ascii="Times New Roman" w:hAnsi="Times New Roman" w:cs="Times New Roman"/>
          <w:bCs/>
          <w:iCs/>
          <w:sz w:val="20"/>
          <w:szCs w:val="18"/>
        </w:rPr>
      </w:pPr>
    </w:p>
    <w:p w14:paraId="3512225E" w14:textId="697F75EE" w:rsidR="0090055F" w:rsidRPr="00CC3FFF" w:rsidRDefault="0090055F" w:rsidP="0090055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The primary aim of the research was to assess the efficacy of decellularised human dermis (ADM), alone or combined with orthobiological adjuvants such as concentrated humeral bone marrow (cHBM) and subacromial bursa (SAB), in reducing the retear rate (RTR) after rotator cuff (RC) arthroscopic repair. The secondary aim was the in vitro biological characterisation of cells harvested from SAB and cHBM residual materials.</w:t>
      </w:r>
    </w:p>
    <w:p w14:paraId="6FDEAE92" w14:textId="0A92541C" w:rsidR="0090055F" w:rsidRPr="00CC3FFF" w:rsidRDefault="0090055F" w:rsidP="0090055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The M.O.D.A. project was a controlled and randomised study that involved the arthroscopic repair of large to massive lesions. After the etic committee authorization (CE AVEC 154/2023/Sper/IOR), seventy-two patients were randomised into Group A (RC repair with ADM) or Group B (RC repair with ADM enriched with autologous orthobiological stimuli). RTR, clinical and functional scores were evaluated before surgery and at 1, 3, 6 and 12 months. CHBM and SAB were cultured to characterise mesenchymal stromal cells (MSC) by analysing CD markers expression, colony-forming units (CFUs) and trilineage differentiation. Moreover, tenogenic commitment was assessed by decorin, collagen type I and tenascin-C gene expressions.</w:t>
      </w:r>
    </w:p>
    <w:p w14:paraId="311B86CA" w14:textId="2CDE094E" w:rsidR="0090055F" w:rsidRPr="00CC3FFF" w:rsidRDefault="0090055F" w:rsidP="0090055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All patients have been enrolled, 42 out of 72 have completed the 12-month follow-up. Preliminary MRI evaluation showed a RTR of 5% (1/20) in Group A and 14% (3/22) in Group B with functional and clinical improvements without side effects; all patients resumed normal daily activities.</w:t>
      </w:r>
    </w:p>
    <w:p w14:paraId="080ECF8C" w14:textId="77777777" w:rsidR="0090055F" w:rsidRPr="00CC3FFF" w:rsidRDefault="0090055F" w:rsidP="0090055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Cells isolated from SAB and cHBM demonstrated mesenchymal stromal cell characteristics. Flow cytometry analysis showed expression of MSC-associated surface markers CD73, CD90, CD44, and CD105 in both cell populations, with higher expression levels in SAB: CD73 (99.3% vs 96.3%), CD90 (98.0% vs 76.2%), CD44 (99.6% vs 92.4%), and CD105 (98.8% vs 94.3%). The clonogenic potential of SAB was found to be significantly greater than cHBM (CFU: 37,58 vs 16,80). Furthermore, both SAB and cHBM presented multilineage differentiation capacity, including osteogenic, chondrogenic, adipogenic, and tenogenic lineages.</w:t>
      </w:r>
    </w:p>
    <w:p w14:paraId="01FF179A" w14:textId="0727258D" w:rsidR="00EA75BE" w:rsidRPr="00CC3FFF" w:rsidRDefault="0090055F" w:rsidP="0090055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Preliminary data at 12-month follow-up showed good clinical and functional outcomes with low RTR, no postoperative complications and ADM integrated into the native tendon. SAB and cHBM were accessible sources of autologous mesenchymal stromal cells; SAB provided a population that supports its role as a biologically active mesenchymal stromal cell niche for the rotator cuff repair.</w:t>
      </w:r>
    </w:p>
    <w:p w14:paraId="0FE0E9AC" w14:textId="77777777" w:rsidR="002F3D70" w:rsidRPr="00CC3FFF" w:rsidRDefault="002F3D70" w:rsidP="009C2C61">
      <w:pPr>
        <w:adjustRightInd w:val="0"/>
        <w:snapToGrid w:val="0"/>
        <w:spacing w:line="260" w:lineRule="atLeast"/>
        <w:rPr>
          <w:rFonts w:ascii="Times New Roman" w:hAnsi="Times New Roman" w:cs="Times New Roman"/>
          <w:bCs/>
          <w:iCs/>
          <w:sz w:val="20"/>
          <w:szCs w:val="18"/>
        </w:rPr>
      </w:pPr>
    </w:p>
    <w:p w14:paraId="71B82A12" w14:textId="20538A29" w:rsidR="00E25934" w:rsidRPr="00CC3FFF" w:rsidRDefault="001604DA" w:rsidP="00E25934">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 xml:space="preserve">11. </w:t>
      </w:r>
      <w:r w:rsidR="0079509A" w:rsidRPr="00CC3FFF">
        <w:rPr>
          <w:rFonts w:ascii="Times New Roman" w:hAnsi="Times New Roman" w:cs="Times New Roman"/>
          <w:b/>
          <w:bCs/>
          <w:iCs/>
          <w:caps/>
          <w:sz w:val="20"/>
          <w:szCs w:val="18"/>
        </w:rPr>
        <w:t>Patient iPSC-derived cerebral organoid as a multicellular model to mimic the complexity of the central nervous system</w:t>
      </w:r>
    </w:p>
    <w:p w14:paraId="4132F830" w14:textId="77777777" w:rsidR="00E25934" w:rsidRPr="00CC3FFF" w:rsidRDefault="00E25934" w:rsidP="00E25934">
      <w:pPr>
        <w:adjustRightInd w:val="0"/>
        <w:snapToGrid w:val="0"/>
        <w:spacing w:line="260" w:lineRule="atLeast"/>
        <w:rPr>
          <w:rFonts w:ascii="Times New Roman" w:hAnsi="Times New Roman" w:cs="Times New Roman"/>
          <w:bCs/>
          <w:iCs/>
          <w:sz w:val="20"/>
          <w:szCs w:val="18"/>
        </w:rPr>
      </w:pPr>
    </w:p>
    <w:p w14:paraId="45F2E2E5" w14:textId="55C48727" w:rsidR="00E25934" w:rsidRPr="00CC3FFF" w:rsidRDefault="0079509A" w:rsidP="00E25934">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L. Carpinelli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D.Sibilia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P. N. Doronzio</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F. Giacalone</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C. Lisciandrello</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E. Guadagni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A. Conte</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S. Lattante</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M. Magatti</w:t>
      </w:r>
      <w:r w:rsidRPr="00CC3FFF">
        <w:rPr>
          <w:rFonts w:ascii="Times New Roman" w:hAnsi="Times New Roman" w:cs="Times New Roman"/>
          <w:bCs/>
          <w:iCs/>
          <w:sz w:val="20"/>
          <w:szCs w:val="18"/>
          <w:vertAlign w:val="superscript"/>
          <w:lang w:val="it-IT"/>
        </w:rPr>
        <w:t>5</w:t>
      </w:r>
      <w:r w:rsidRPr="00CC3FFF">
        <w:rPr>
          <w:rFonts w:ascii="Times New Roman" w:hAnsi="Times New Roman" w:cs="Times New Roman"/>
          <w:bCs/>
          <w:iCs/>
          <w:sz w:val="20"/>
          <w:szCs w:val="18"/>
          <w:lang w:val="it-IT"/>
        </w:rPr>
        <w:t>, A. Silini</w:t>
      </w:r>
      <w:r w:rsidRPr="00CC3FFF">
        <w:rPr>
          <w:rFonts w:ascii="Times New Roman" w:hAnsi="Times New Roman" w:cs="Times New Roman"/>
          <w:bCs/>
          <w:iCs/>
          <w:sz w:val="20"/>
          <w:szCs w:val="18"/>
          <w:vertAlign w:val="superscript"/>
          <w:lang w:val="it-IT"/>
        </w:rPr>
        <w:t>5</w:t>
      </w:r>
      <w:r w:rsidRPr="00CC3FFF">
        <w:rPr>
          <w:rFonts w:ascii="Times New Roman" w:hAnsi="Times New Roman" w:cs="Times New Roman"/>
          <w:bCs/>
          <w:iCs/>
          <w:sz w:val="20"/>
          <w:szCs w:val="18"/>
          <w:lang w:val="it-IT"/>
        </w:rPr>
        <w:t>, Facility Biobanca</w:t>
      </w:r>
      <w:r w:rsidRPr="00CC3FFF">
        <w:rPr>
          <w:rFonts w:ascii="Times New Roman" w:hAnsi="Times New Roman" w:cs="Times New Roman"/>
          <w:bCs/>
          <w:iCs/>
          <w:sz w:val="20"/>
          <w:szCs w:val="18"/>
          <w:vertAlign w:val="superscript"/>
          <w:lang w:val="it-IT"/>
        </w:rPr>
        <w:t>6</w:t>
      </w:r>
      <w:r w:rsidRPr="00CC3FFF">
        <w:rPr>
          <w:rFonts w:ascii="Times New Roman" w:hAnsi="Times New Roman" w:cs="Times New Roman"/>
          <w:bCs/>
          <w:iCs/>
          <w:sz w:val="20"/>
          <w:szCs w:val="18"/>
          <w:lang w:val="it-IT"/>
        </w:rPr>
        <w:t>, Facility Citometria a Flusso</w:t>
      </w:r>
      <w:r w:rsidRPr="00CC3FFF">
        <w:rPr>
          <w:rFonts w:ascii="Times New Roman" w:hAnsi="Times New Roman" w:cs="Times New Roman"/>
          <w:bCs/>
          <w:iCs/>
          <w:sz w:val="20"/>
          <w:szCs w:val="18"/>
          <w:vertAlign w:val="superscript"/>
          <w:lang w:val="it-IT"/>
        </w:rPr>
        <w:t>6</w:t>
      </w:r>
      <w:r w:rsidRPr="00CC3FFF">
        <w:rPr>
          <w:rFonts w:ascii="Times New Roman" w:hAnsi="Times New Roman" w:cs="Times New Roman"/>
          <w:bCs/>
          <w:iCs/>
          <w:sz w:val="20"/>
          <w:szCs w:val="18"/>
          <w:lang w:val="it-IT"/>
        </w:rPr>
        <w:t>, L. Di Pietro</w:t>
      </w:r>
      <w:r w:rsidRPr="00CC3FFF">
        <w:rPr>
          <w:rFonts w:ascii="Times New Roman" w:hAnsi="Times New Roman" w:cs="Times New Roman"/>
          <w:bCs/>
          <w:iCs/>
          <w:sz w:val="20"/>
          <w:szCs w:val="18"/>
          <w:vertAlign w:val="superscript"/>
          <w:lang w:val="it-IT"/>
        </w:rPr>
        <w:t>1,2</w:t>
      </w:r>
      <w:r w:rsidRPr="00CC3FFF">
        <w:rPr>
          <w:rFonts w:ascii="Times New Roman" w:hAnsi="Times New Roman" w:cs="Times New Roman"/>
          <w:bCs/>
          <w:iCs/>
          <w:sz w:val="20"/>
          <w:szCs w:val="18"/>
          <w:lang w:val="it-IT"/>
        </w:rPr>
        <w:t>, M. Sabatelli</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O. Parolini</w:t>
      </w:r>
      <w:r w:rsidRPr="00CC3FFF">
        <w:rPr>
          <w:rFonts w:ascii="Times New Roman" w:hAnsi="Times New Roman" w:cs="Times New Roman"/>
          <w:bCs/>
          <w:iCs/>
          <w:sz w:val="20"/>
          <w:szCs w:val="18"/>
          <w:vertAlign w:val="superscript"/>
          <w:lang w:val="it-IT"/>
        </w:rPr>
        <w:t>1,2</w:t>
      </w:r>
    </w:p>
    <w:p w14:paraId="11F74688" w14:textId="77777777" w:rsidR="00E25934" w:rsidRPr="00CC3FFF" w:rsidRDefault="00E25934" w:rsidP="00E25934">
      <w:pPr>
        <w:adjustRightInd w:val="0"/>
        <w:snapToGrid w:val="0"/>
        <w:spacing w:line="260" w:lineRule="atLeast"/>
        <w:rPr>
          <w:rFonts w:ascii="Times New Roman" w:hAnsi="Times New Roman" w:cs="Times New Roman"/>
          <w:bCs/>
          <w:iCs/>
          <w:sz w:val="20"/>
          <w:szCs w:val="18"/>
          <w:lang w:val="it-IT"/>
        </w:rPr>
      </w:pPr>
    </w:p>
    <w:p w14:paraId="0F151DFA" w14:textId="77777777" w:rsidR="0079509A" w:rsidRPr="00CC3FFF" w:rsidRDefault="0079509A" w:rsidP="0079509A">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Fondazione Policlinico Universitario A. Gemelli IRCSS, Rome, Italy</w:t>
      </w:r>
    </w:p>
    <w:p w14:paraId="382BB7A5" w14:textId="77777777" w:rsidR="0079509A" w:rsidRPr="00CC3FFF" w:rsidRDefault="0079509A" w:rsidP="0079509A">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Dipartimento di Scienze della Vita e Sanità Pubblica, Università Cattolica del Sacro Cuore, Rome, Italy</w:t>
      </w:r>
    </w:p>
    <w:p w14:paraId="0030F4C9" w14:textId="77777777" w:rsidR="0079509A" w:rsidRPr="00CC3FFF" w:rsidRDefault="0079509A" w:rsidP="0079509A">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Centro Clinico NEMO, Fondazione Policlinico Gemelli IRCCS, Rome, Italy</w:t>
      </w:r>
    </w:p>
    <w:p w14:paraId="712B6D34" w14:textId="0CB2B669" w:rsidR="0079509A" w:rsidRPr="00CC3FFF" w:rsidRDefault="0079509A" w:rsidP="0079509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4</w:t>
      </w:r>
      <w:r w:rsidRPr="00CC3FFF">
        <w:rPr>
          <w:rFonts w:ascii="Times New Roman" w:hAnsi="Times New Roman" w:cs="Times New Roman"/>
          <w:bCs/>
          <w:iCs/>
          <w:sz w:val="20"/>
          <w:szCs w:val="18"/>
        </w:rPr>
        <w:t>Department of Experimental Medicine, University of Salento, Lecce, Italy</w:t>
      </w:r>
    </w:p>
    <w:p w14:paraId="2A0947D9" w14:textId="77777777" w:rsidR="0079509A" w:rsidRPr="00CC3FFF" w:rsidRDefault="0079509A" w:rsidP="0079509A">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5</w:t>
      </w:r>
      <w:r w:rsidRPr="00CC3FFF">
        <w:rPr>
          <w:rFonts w:ascii="Times New Roman" w:hAnsi="Times New Roman" w:cs="Times New Roman"/>
          <w:bCs/>
          <w:iCs/>
          <w:sz w:val="20"/>
          <w:szCs w:val="18"/>
          <w:lang w:val="it-IT"/>
        </w:rPr>
        <w:t>Centro di Ricerca E. Menni, Fondazione Poliambulanza Istituto Ospedaliero, Brescia, Italy</w:t>
      </w:r>
    </w:p>
    <w:p w14:paraId="0877D21C" w14:textId="4734F0EE" w:rsidR="0079509A" w:rsidRPr="00CC3FFF" w:rsidRDefault="0079509A" w:rsidP="0079509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6</w:t>
      </w:r>
      <w:r w:rsidRPr="00CC3FFF">
        <w:rPr>
          <w:rFonts w:ascii="Times New Roman" w:hAnsi="Times New Roman" w:cs="Times New Roman"/>
          <w:bCs/>
          <w:iCs/>
          <w:sz w:val="20"/>
          <w:szCs w:val="18"/>
        </w:rPr>
        <w:t>Gemelli Science and Technology Park (GSTeP), Fondazione Policlinico Universitario A. Gemelli IRCSS, Rome, Italy</w:t>
      </w:r>
    </w:p>
    <w:p w14:paraId="2FD6491E" w14:textId="77C43EA1" w:rsidR="00E25934" w:rsidRPr="00CC3FFF" w:rsidRDefault="0079509A" w:rsidP="0079509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contributed equally</w:t>
      </w:r>
    </w:p>
    <w:p w14:paraId="3BD5E26A" w14:textId="77777777" w:rsidR="00E25934" w:rsidRPr="00CC3FFF" w:rsidRDefault="00E25934" w:rsidP="00E25934">
      <w:pPr>
        <w:adjustRightInd w:val="0"/>
        <w:snapToGrid w:val="0"/>
        <w:spacing w:line="260" w:lineRule="atLeast"/>
        <w:rPr>
          <w:rFonts w:ascii="Times New Roman" w:hAnsi="Times New Roman" w:cs="Times New Roman"/>
          <w:bCs/>
          <w:iCs/>
          <w:sz w:val="20"/>
          <w:szCs w:val="18"/>
        </w:rPr>
      </w:pPr>
    </w:p>
    <w:p w14:paraId="5F929D8F" w14:textId="352D3EFF" w:rsidR="0079509A" w:rsidRPr="00CC3FFF" w:rsidRDefault="0079509A" w:rsidP="0079509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2D cultures have major limitations in modeling complex tissue-like environments, in terms of heterogeneity, architecture and intercellular interactions. The study aims to develop a 3D cellular model derived from patient-induced pluripotent stem cells (iPSCs) that integrates neuronal and immune components to recapitulate key features of the central nervous system, providing a physiologically relevant in vitro platform for studying neurodegenerative diseases (NDDs).</w:t>
      </w:r>
    </w:p>
    <w:p w14:paraId="7B2EA485" w14:textId="3B4C4D08" w:rsidR="0079509A" w:rsidRPr="00CC3FFF" w:rsidRDefault="0079509A" w:rsidP="0079509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Amyotrophic lateral sclerosis (ALS) has been chosen as an elective model for NDDs. Skin biopsies were obtained from ALS patients and healthy controls (CTRL) for fibroblast isolation and reprogramming into iPSCs. Validated iPSCs were used to generate brain organoids (BOs) using the liquid culture method. To improve model complexity, oligodendrocytes (obtained by stimulating BOs with specific growth factors) and microglial cells (generated from matched patient-derived iPSCs) were integrated. BOs were cultured for 50, 70, 80 and 100 days, and their growth and morphology were evaluated. Immunofluorescence and gene expression analyses were performed to evaluate neuronal and glial markers.</w:t>
      </w:r>
    </w:p>
    <w:p w14:paraId="5DE145AF" w14:textId="0D2E42B0" w:rsidR="0079509A" w:rsidRPr="00CC3FFF" w:rsidRDefault="0079509A" w:rsidP="0079509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Morphometric analysis showed regular growth of both CTRL and ALS BOs over time, suggesting morphological stability. Immunofluorescence and gene expression analyses confirmed correct neuronal differentiation and spatial organization in both groups. ALS BOs exhibited increased expression</w:t>
      </w:r>
    </w:p>
    <w:p w14:paraId="263B2923" w14:textId="77777777" w:rsidR="0079509A" w:rsidRPr="00CC3FFF" w:rsidRDefault="0079509A" w:rsidP="0079509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of mature neuron and progenitor markers. Motor neurons and oligodendrocytes were detected. Cytofluorimetric analysis confirmed microglia differentiation from iPSCs and its effective integration into both CTRL and ALS BOs. In ALS BOs, microglia predominantly displayed an amoeboid morphology, suggesting a more activated state compared with CTRL BOs.</w:t>
      </w:r>
    </w:p>
    <w:p w14:paraId="64907536" w14:textId="75618E88" w:rsidR="0079509A" w:rsidRPr="00CC3FFF" w:rsidRDefault="0079509A" w:rsidP="0079509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Fibroblasts from ALS patients and CTRL were successfully reprogrammed into iPSCs. Optimized strategies for BOs generation enabled differentiation into neurons, motor neurons, and oligodendrocytes. An effective protocol for microglia integration was established, yielding a 3D platform suitable for investigating neurodegenerative and neuroinflammatory mechanisms in ALS.</w:t>
      </w:r>
    </w:p>
    <w:p w14:paraId="14ED7E73" w14:textId="77777777" w:rsidR="0079509A" w:rsidRPr="00CC3FFF" w:rsidRDefault="0079509A" w:rsidP="0079509A">
      <w:pPr>
        <w:adjustRightInd w:val="0"/>
        <w:snapToGrid w:val="0"/>
        <w:spacing w:line="260" w:lineRule="atLeast"/>
        <w:rPr>
          <w:rFonts w:ascii="Times New Roman" w:hAnsi="Times New Roman" w:cs="Times New Roman"/>
          <w:bCs/>
          <w:iCs/>
          <w:sz w:val="20"/>
          <w:szCs w:val="18"/>
        </w:rPr>
      </w:pPr>
    </w:p>
    <w:p w14:paraId="1FF4BBAC" w14:textId="2F4616A2" w:rsidR="00E25934" w:rsidRPr="00CC3FFF" w:rsidRDefault="0079509A" w:rsidP="0079509A">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rPr>
        <w:t>Funded by the European Union – Next Generation EU – PNRR M6C2 – Investment 2.1 Enhancement and strengthening of biomedical research in the National Health Service – project PNRR-</w:t>
      </w:r>
      <w:r w:rsidRPr="00CC3FFF">
        <w:rPr>
          <w:rFonts w:ascii="Times New Roman" w:hAnsi="Times New Roman" w:cs="Times New Roman"/>
          <w:bCs/>
          <w:iCs/>
          <w:sz w:val="20"/>
          <w:szCs w:val="18"/>
          <w:lang w:val="it-IT"/>
        </w:rPr>
        <w:t>MCNT2-2023-12377338 – [PI: Ornella Parolini; Co-PI: Mario Sabatelli] – CUP: C53C23001090007.</w:t>
      </w:r>
    </w:p>
    <w:p w14:paraId="0F9DB89E" w14:textId="77777777" w:rsidR="00E25934" w:rsidRPr="00CC3FFF" w:rsidRDefault="00E25934" w:rsidP="009C2C61">
      <w:pPr>
        <w:adjustRightInd w:val="0"/>
        <w:snapToGrid w:val="0"/>
        <w:spacing w:line="260" w:lineRule="atLeast"/>
        <w:rPr>
          <w:rFonts w:ascii="Times New Roman" w:hAnsi="Times New Roman" w:cs="Times New Roman"/>
          <w:bCs/>
          <w:iCs/>
          <w:sz w:val="20"/>
          <w:szCs w:val="18"/>
          <w:lang w:val="it-IT"/>
        </w:rPr>
      </w:pPr>
    </w:p>
    <w:p w14:paraId="68EB4405" w14:textId="3E6A662E" w:rsidR="009C2C61" w:rsidRPr="00CC3FFF" w:rsidRDefault="001604DA" w:rsidP="009C2C61">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 xml:space="preserve">12. </w:t>
      </w:r>
      <w:r w:rsidR="00646105" w:rsidRPr="00CC3FFF">
        <w:rPr>
          <w:rFonts w:ascii="Times New Roman" w:hAnsi="Times New Roman" w:cs="Times New Roman"/>
          <w:b/>
          <w:bCs/>
          <w:iCs/>
          <w:caps/>
          <w:sz w:val="20"/>
          <w:szCs w:val="20"/>
        </w:rPr>
        <w:t>A three-dimensional bioprinted colorectal cancer model based on tumor-derived extracellular matrix, apelin-13 and type I collagen to study tumor–stroma interactions</w:t>
      </w:r>
    </w:p>
    <w:p w14:paraId="249D6D94" w14:textId="77777777" w:rsidR="009C2C61" w:rsidRPr="00CC3FFF" w:rsidRDefault="009C2C61" w:rsidP="009C2C61">
      <w:pPr>
        <w:adjustRightInd w:val="0"/>
        <w:snapToGrid w:val="0"/>
        <w:spacing w:line="260" w:lineRule="atLeast"/>
        <w:rPr>
          <w:rFonts w:ascii="Times New Roman" w:hAnsi="Times New Roman" w:cs="Times New Roman"/>
          <w:bCs/>
          <w:iCs/>
          <w:sz w:val="20"/>
          <w:szCs w:val="20"/>
        </w:rPr>
      </w:pPr>
    </w:p>
    <w:p w14:paraId="4681809C" w14:textId="02C554C9" w:rsidR="009C2C61" w:rsidRPr="00CC3FFF" w:rsidRDefault="00646105" w:rsidP="00646105">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G. Cendron</w:t>
      </w:r>
      <w:r w:rsidRPr="00CC3FFF">
        <w:rPr>
          <w:rFonts w:ascii="Times New Roman" w:hAnsi="Times New Roman" w:cs="Times New Roman"/>
          <w:bCs/>
          <w:iCs/>
          <w:sz w:val="20"/>
          <w:szCs w:val="20"/>
          <w:vertAlign w:val="superscript"/>
          <w:lang w:val="it-IT"/>
        </w:rPr>
        <w:t>2,3</w:t>
      </w:r>
      <w:r w:rsidRPr="00CC3FFF">
        <w:rPr>
          <w:rFonts w:ascii="Times New Roman" w:hAnsi="Times New Roman" w:cs="Times New Roman"/>
          <w:bCs/>
          <w:iCs/>
          <w:sz w:val="20"/>
          <w:szCs w:val="20"/>
          <w:lang w:val="it-IT"/>
        </w:rPr>
        <w:t>, H. Siahmansouri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Pontara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Papadia</w:t>
      </w:r>
      <w:r w:rsidRPr="00CC3FFF">
        <w:rPr>
          <w:rFonts w:ascii="Times New Roman" w:hAnsi="Times New Roman" w:cs="Times New Roman"/>
          <w:bCs/>
          <w:iCs/>
          <w:sz w:val="20"/>
          <w:szCs w:val="20"/>
          <w:vertAlign w:val="superscript"/>
          <w:lang w:val="it-IT"/>
        </w:rPr>
        <w:t>3,4</w:t>
      </w:r>
      <w:r w:rsidRPr="00CC3FFF">
        <w:rPr>
          <w:rFonts w:ascii="Times New Roman" w:hAnsi="Times New Roman" w:cs="Times New Roman"/>
          <w:bCs/>
          <w:iCs/>
          <w:sz w:val="20"/>
          <w:szCs w:val="20"/>
          <w:lang w:val="it-IT"/>
        </w:rPr>
        <w:t>, R. Benelli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F. Grillo</w:t>
      </w:r>
      <w:r w:rsidRPr="00CC3FFF">
        <w:rPr>
          <w:rFonts w:ascii="Times New Roman" w:hAnsi="Times New Roman" w:cs="Times New Roman"/>
          <w:bCs/>
          <w:iCs/>
          <w:sz w:val="20"/>
          <w:szCs w:val="20"/>
          <w:vertAlign w:val="superscript"/>
          <w:lang w:val="it-IT"/>
        </w:rPr>
        <w:t>3,4</w:t>
      </w:r>
      <w:r w:rsidRPr="00CC3FFF">
        <w:rPr>
          <w:rFonts w:ascii="Times New Roman" w:hAnsi="Times New Roman" w:cs="Times New Roman"/>
          <w:bCs/>
          <w:iCs/>
          <w:sz w:val="20"/>
          <w:szCs w:val="20"/>
          <w:lang w:val="it-IT"/>
        </w:rPr>
        <w:t>, D. Fenoglio</w:t>
      </w:r>
      <w:r w:rsidRPr="00CC3FFF">
        <w:rPr>
          <w:rFonts w:ascii="Times New Roman" w:hAnsi="Times New Roman" w:cs="Times New Roman"/>
          <w:bCs/>
          <w:iCs/>
          <w:sz w:val="20"/>
          <w:szCs w:val="20"/>
          <w:vertAlign w:val="superscript"/>
          <w:lang w:val="it-IT"/>
        </w:rPr>
        <w:t>2,3</w:t>
      </w:r>
      <w:r w:rsidRPr="00CC3FFF">
        <w:rPr>
          <w:rFonts w:ascii="Times New Roman" w:hAnsi="Times New Roman" w:cs="Times New Roman"/>
          <w:bCs/>
          <w:iCs/>
          <w:sz w:val="20"/>
          <w:szCs w:val="20"/>
          <w:lang w:val="it-IT"/>
        </w:rPr>
        <w:t>, G. Filaci</w:t>
      </w:r>
      <w:r w:rsidRPr="00CC3FFF">
        <w:rPr>
          <w:rFonts w:ascii="Times New Roman" w:hAnsi="Times New Roman" w:cs="Times New Roman"/>
          <w:bCs/>
          <w:iCs/>
          <w:sz w:val="20"/>
          <w:szCs w:val="20"/>
          <w:vertAlign w:val="superscript"/>
          <w:lang w:val="it-IT"/>
        </w:rPr>
        <w:t>2,3</w:t>
      </w:r>
      <w:r w:rsidRPr="00CC3FFF">
        <w:rPr>
          <w:rFonts w:ascii="Times New Roman" w:hAnsi="Times New Roman" w:cs="Times New Roman"/>
          <w:bCs/>
          <w:iCs/>
          <w:sz w:val="20"/>
          <w:szCs w:val="20"/>
          <w:lang w:val="it-IT"/>
        </w:rPr>
        <w:t>, C. Gentili</w:t>
      </w:r>
      <w:r w:rsidRPr="00CC3FFF">
        <w:rPr>
          <w:rFonts w:ascii="Times New Roman" w:hAnsi="Times New Roman" w:cs="Times New Roman"/>
          <w:bCs/>
          <w:iCs/>
          <w:sz w:val="20"/>
          <w:szCs w:val="20"/>
          <w:vertAlign w:val="superscript"/>
          <w:lang w:val="it-IT"/>
        </w:rPr>
        <w:t>1,3</w:t>
      </w:r>
      <w:r w:rsidRPr="00CC3FFF">
        <w:rPr>
          <w:rFonts w:ascii="Times New Roman" w:hAnsi="Times New Roman" w:cs="Times New Roman"/>
          <w:bCs/>
          <w:iCs/>
          <w:sz w:val="20"/>
          <w:szCs w:val="20"/>
          <w:lang w:val="it-IT"/>
        </w:rPr>
        <w:t>, M. Mastrogiacomo</w:t>
      </w:r>
      <w:r w:rsidRPr="00CC3FFF">
        <w:rPr>
          <w:rFonts w:ascii="Times New Roman" w:hAnsi="Times New Roman" w:cs="Times New Roman"/>
          <w:bCs/>
          <w:iCs/>
          <w:sz w:val="20"/>
          <w:szCs w:val="20"/>
          <w:vertAlign w:val="superscript"/>
          <w:lang w:val="it-IT"/>
        </w:rPr>
        <w:t>2,3</w:t>
      </w:r>
    </w:p>
    <w:p w14:paraId="50607642" w14:textId="77777777" w:rsidR="009C2C61" w:rsidRPr="00CC3FFF" w:rsidRDefault="009C2C61" w:rsidP="009C2C61">
      <w:pPr>
        <w:adjustRightInd w:val="0"/>
        <w:snapToGrid w:val="0"/>
        <w:spacing w:line="260" w:lineRule="atLeast"/>
        <w:rPr>
          <w:rFonts w:ascii="Times New Roman" w:hAnsi="Times New Roman" w:cs="Times New Roman"/>
          <w:bCs/>
          <w:iCs/>
          <w:sz w:val="20"/>
          <w:szCs w:val="20"/>
          <w:lang w:val="it-IT"/>
        </w:rPr>
      </w:pPr>
    </w:p>
    <w:p w14:paraId="587D80B6" w14:textId="7A3D49FD" w:rsidR="00646105" w:rsidRPr="00CC3FFF" w:rsidRDefault="00646105" w:rsidP="0064610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w:t>
      </w:r>
      <w:r w:rsidR="00E204C6"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Experimental Medicine (DIMES), University of Genoa, Genoa, Italy</w:t>
      </w:r>
    </w:p>
    <w:p w14:paraId="61BFA640" w14:textId="3C6453D6" w:rsidR="00646105" w:rsidRPr="00CC3FFF" w:rsidRDefault="00646105" w:rsidP="0064610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E204C6"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Internal Medicine and Medical Specialities (DIMI), University of Genoa, Genoa, Italy</w:t>
      </w:r>
    </w:p>
    <w:p w14:paraId="1059C0D1" w14:textId="77777777" w:rsidR="00646105" w:rsidRPr="00CC3FFF" w:rsidRDefault="00646105" w:rsidP="00646105">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Ospedale Policlinico San Martino IRCCS, Genoa, Italy</w:t>
      </w:r>
    </w:p>
    <w:p w14:paraId="173A39AC" w14:textId="3EE885CB" w:rsidR="009C2C61" w:rsidRPr="00CC3FFF" w:rsidRDefault="00646105" w:rsidP="0064610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Dep</w:t>
      </w:r>
      <w:r w:rsidR="00E204C6"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Surgical Sciences and Integrated Diagnostics (DISC), University of Genoa, Genoa, Italy</w:t>
      </w:r>
    </w:p>
    <w:p w14:paraId="6E0743DF" w14:textId="77777777" w:rsidR="009C2C61" w:rsidRPr="00CC3FFF" w:rsidRDefault="009C2C61" w:rsidP="009C2C61">
      <w:pPr>
        <w:adjustRightInd w:val="0"/>
        <w:snapToGrid w:val="0"/>
        <w:spacing w:line="260" w:lineRule="atLeast"/>
        <w:rPr>
          <w:rFonts w:ascii="Times New Roman" w:hAnsi="Times New Roman" w:cs="Times New Roman"/>
          <w:bCs/>
          <w:iCs/>
          <w:sz w:val="20"/>
          <w:szCs w:val="20"/>
        </w:rPr>
      </w:pPr>
    </w:p>
    <w:p w14:paraId="48D22B65" w14:textId="5E59EE5E" w:rsidR="00646105" w:rsidRPr="00CC3FFF" w:rsidRDefault="00646105" w:rsidP="0064610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Colorectal cancer is one of the most prevalent malignancies and is associated with high mortality, mainly due to treatment resistance and disease recurrence, processes strongly driven by the tumor microenvironment. The aim of this study was to develop a biomimetic three-dimensional model able to overcome the limitations of conventional two-dimensional cultures and to reproduce functional interactions between tumor and stromal cells within a tumor-derived extracellular matrix context.</w:t>
      </w:r>
    </w:p>
    <w:p w14:paraId="2CEC129A" w14:textId="4580166B" w:rsidR="00646105" w:rsidRPr="00CC3FFF" w:rsidRDefault="00646105" w:rsidP="0064610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A three-dimensional bioprinted model was developed using a laminin-based bioink containing tumor-derived decellularized extracellular matrix, Apelin-13, and type I collagen. Human colon carcinoma cells (LoVo cell line) and cancer-associated fibroblasts were co-bioprinted and cultured for up to thirty days. Cell viability and proliferation were assessed by metabolic assays, while cell migration, tissue organization, and gene expression were analyzed by histological and fluorescence imaging and quantitative PCR.</w:t>
      </w:r>
    </w:p>
    <w:p w14:paraId="1E805168" w14:textId="41AA6A1C" w:rsidR="00646105" w:rsidRPr="00CC3FFF" w:rsidRDefault="00646105" w:rsidP="0064610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lastRenderedPageBreak/>
        <w:t xml:space="preserve">Results: </w:t>
      </w:r>
      <w:r w:rsidRPr="00CC3FFF">
        <w:rPr>
          <w:rFonts w:ascii="Times New Roman" w:hAnsi="Times New Roman" w:cs="Times New Roman"/>
          <w:bCs/>
          <w:iCs/>
          <w:sz w:val="20"/>
          <w:szCs w:val="20"/>
        </w:rPr>
        <w:t>The three-dimensional constructs showed a significant increase in cell viability and proliferation, with up to a thirteen-fold increase in Apelin-13 and Collagen-enriched scaffolds compared to initial values (p&lt;0.0001). Apelin-13 significantly promoted directional migration and proliferation of LoVo cells, whereas type I collagen provided biomechanical support and mechanotransduction cues. Transcriptomic analysis revealed a synergistic effect of Apelin and Collagen, with significant upregulation of stemness-associated genes SOX2 and SOX9 (4.28- and 5.13-fold, respectively, at 72 h). Morphological analyses confirmed the formation of well-organized cellular clusters and preservation of extracellular matrix architecture.</w:t>
      </w:r>
    </w:p>
    <w:p w14:paraId="49A015AE" w14:textId="44F7501F" w:rsidR="009C2C61" w:rsidRPr="00CC3FFF" w:rsidRDefault="00646105" w:rsidP="0064610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This three-dimensional model efficiently recapitulates key tumor–microenvironment interactions, including extracellular matrix–mediated mechanotransduction and paracrine signaling between stromal and cancer cells. The integration of patient-derived extracellular matrix components and bioactive peptides provides a relevant platform to bridge the gap between conventional two-dimensional cultures and patient-relevant tumor biology, enabling mechanistic studies on tumor–stroma interactions and Apelin-13 and YAP/TAZ-dependent signaling pathways, as well as the development of personalized therapeutic strategies in colorectal tumorigenesis.</w:t>
      </w:r>
    </w:p>
    <w:p w14:paraId="79EE0BD2" w14:textId="054EDABA" w:rsidR="009C2C61" w:rsidRPr="00CC3FFF" w:rsidRDefault="009C2C61" w:rsidP="009C2C61">
      <w:pPr>
        <w:adjustRightInd w:val="0"/>
        <w:snapToGrid w:val="0"/>
        <w:spacing w:line="260" w:lineRule="atLeast"/>
        <w:rPr>
          <w:rFonts w:ascii="Times New Roman" w:hAnsi="Times New Roman" w:cs="Times New Roman"/>
          <w:bCs/>
          <w:iCs/>
          <w:sz w:val="20"/>
          <w:szCs w:val="20"/>
        </w:rPr>
      </w:pPr>
    </w:p>
    <w:p w14:paraId="0BCAD887" w14:textId="6D87B7CC" w:rsidR="00EA75BE" w:rsidRPr="00CC3FFF" w:rsidRDefault="001604DA" w:rsidP="00EA75BE">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 xml:space="preserve">13. </w:t>
      </w:r>
      <w:r w:rsidR="00E204C6" w:rsidRPr="00CC3FFF">
        <w:rPr>
          <w:rFonts w:ascii="Times New Roman" w:hAnsi="Times New Roman" w:cs="Times New Roman"/>
          <w:b/>
          <w:bCs/>
          <w:iCs/>
          <w:caps/>
          <w:sz w:val="20"/>
          <w:szCs w:val="20"/>
        </w:rPr>
        <w:t>Targeting nuclear lamina defects to impair epithelial-to-mesenchymal transition and stemness in glioblastoma</w:t>
      </w:r>
    </w:p>
    <w:p w14:paraId="7FE16B4F" w14:textId="77777777" w:rsidR="00EA75BE" w:rsidRPr="00CC3FFF" w:rsidRDefault="00EA75BE" w:rsidP="00EA75BE">
      <w:pPr>
        <w:adjustRightInd w:val="0"/>
        <w:snapToGrid w:val="0"/>
        <w:spacing w:line="260" w:lineRule="atLeast"/>
        <w:rPr>
          <w:rFonts w:ascii="Times New Roman" w:hAnsi="Times New Roman" w:cs="Times New Roman"/>
          <w:bCs/>
          <w:iCs/>
          <w:sz w:val="20"/>
          <w:szCs w:val="20"/>
        </w:rPr>
      </w:pPr>
    </w:p>
    <w:p w14:paraId="4E53B574" w14:textId="4B675F60" w:rsidR="00EA75BE" w:rsidRPr="00CC3FFF" w:rsidRDefault="00E204C6" w:rsidP="00EA75BE">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C. B. Cerchier</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V. Marvi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I. Rusciano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L. Manzoli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C. Capanni</w:t>
      </w:r>
      <w:r w:rsidRPr="00CC3FFF">
        <w:rPr>
          <w:rFonts w:ascii="Times New Roman" w:hAnsi="Times New Roman" w:cs="Times New Roman"/>
          <w:bCs/>
          <w:iCs/>
          <w:sz w:val="20"/>
          <w:szCs w:val="20"/>
          <w:vertAlign w:val="superscript"/>
          <w:lang w:val="it-IT"/>
        </w:rPr>
        <w:t>2,3</w:t>
      </w:r>
      <w:r w:rsidRPr="00CC3FFF">
        <w:rPr>
          <w:rFonts w:ascii="Times New Roman" w:hAnsi="Times New Roman" w:cs="Times New Roman"/>
          <w:bCs/>
          <w:iCs/>
          <w:sz w:val="20"/>
          <w:szCs w:val="20"/>
          <w:lang w:val="it-IT"/>
        </w:rPr>
        <w:t>, C. Evangelisti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Ratti</w:t>
      </w:r>
      <w:r w:rsidRPr="00CC3FFF">
        <w:rPr>
          <w:rFonts w:ascii="Times New Roman" w:hAnsi="Times New Roman" w:cs="Times New Roman"/>
          <w:bCs/>
          <w:iCs/>
          <w:sz w:val="20"/>
          <w:szCs w:val="20"/>
          <w:vertAlign w:val="superscript"/>
          <w:lang w:val="it-IT"/>
        </w:rPr>
        <w:t>1</w:t>
      </w:r>
    </w:p>
    <w:p w14:paraId="477B2FAD" w14:textId="77777777" w:rsidR="00EA75BE" w:rsidRPr="00CC3FFF" w:rsidRDefault="00EA75BE" w:rsidP="00EA75BE">
      <w:pPr>
        <w:adjustRightInd w:val="0"/>
        <w:snapToGrid w:val="0"/>
        <w:spacing w:line="260" w:lineRule="atLeast"/>
        <w:rPr>
          <w:rFonts w:ascii="Times New Roman" w:hAnsi="Times New Roman" w:cs="Times New Roman"/>
          <w:bCs/>
          <w:iCs/>
          <w:sz w:val="20"/>
          <w:szCs w:val="20"/>
          <w:lang w:val="it-IT"/>
        </w:rPr>
      </w:pPr>
    </w:p>
    <w:p w14:paraId="08701D61" w14:textId="65A8C5AD" w:rsidR="00E204C6" w:rsidRPr="00CC3FFF" w:rsidRDefault="00E204C6" w:rsidP="00E204C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xml:space="preserve">Cellular Signalling Laboratory, Anatomy Center,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Biomedical and Neuromotor Sciences (DIBINEM), Alma Mater Studiorum-University of Bologna, Bologna, Italy</w:t>
      </w:r>
    </w:p>
    <w:p w14:paraId="5023C424" w14:textId="77777777" w:rsidR="00E204C6" w:rsidRPr="00CC3FFF" w:rsidRDefault="00E204C6" w:rsidP="00E204C6">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CNR Institute of Molecular Genetics “Luigi Luca Cavalli-Sforza”, Unit of Bologna, Bologna, Italy</w:t>
      </w:r>
    </w:p>
    <w:p w14:paraId="5938B9A4" w14:textId="072871DF" w:rsidR="00EA75BE" w:rsidRPr="00CC3FFF" w:rsidRDefault="00E204C6" w:rsidP="00E204C6">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IRCCS Rizzoli Orthopedic Institute, Bologna, Italy</w:t>
      </w:r>
    </w:p>
    <w:p w14:paraId="7C54E547" w14:textId="77777777" w:rsidR="00EA75BE" w:rsidRPr="00CC3FFF" w:rsidRDefault="00EA75BE" w:rsidP="00EA75BE">
      <w:pPr>
        <w:adjustRightInd w:val="0"/>
        <w:snapToGrid w:val="0"/>
        <w:spacing w:line="260" w:lineRule="atLeast"/>
        <w:rPr>
          <w:rFonts w:ascii="Times New Roman" w:hAnsi="Times New Roman" w:cs="Times New Roman"/>
          <w:bCs/>
          <w:iCs/>
          <w:sz w:val="20"/>
          <w:szCs w:val="20"/>
          <w:lang w:val="it-IT"/>
        </w:rPr>
      </w:pPr>
    </w:p>
    <w:p w14:paraId="13A39E23" w14:textId="02AA2AF8" w:rsidR="00E204C6" w:rsidRPr="00CC3FFF" w:rsidRDefault="00E204C6" w:rsidP="00E204C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Glioblastoma, the most common high-grade glioma, is characterized by poor prognosis due to therapy resistance and tumor recurrence, largely attributed to a group of cancer cells named glioma stem cells (GSCs). In glioblastoma cells, the structure of the nuclear lamina is completely altered, and recent evidence suggests that pharmacologically-induced accumulation of prelamin A, the precursor of lamin A, reduce GSCs aggressiveness and stemness. Interestingly, cells accumulating prelamin A show a decrease of expression of N-cadherin, a key factor involved in epithelial-to-mesenchymal transition (EMT). Moreover, recent findings indicate that a peculiar form of connexin, known as GJA1-20k (Cx20), which has also been involved in cancer progression, may act as a transcriptional regulator, binding to the N-cadherin promoter. Based on these assumptions, this project aims to investigate the possible role of prelamin A on EMT in GSCs, focusing on its potential impact on the intranuclear translocation of Cx20, similarly to other transcriptional factors, thereby indirectly affecting N-cadherin transcription.</w:t>
      </w:r>
    </w:p>
    <w:p w14:paraId="36F66F10" w14:textId="243EE4FA" w:rsidR="00E204C6" w:rsidRPr="00CC3FFF" w:rsidRDefault="00E204C6" w:rsidP="00E204C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Cx20 localization is analyzed in glioblastoma cell lines compared to human astrocytes, used as control samples. Prelamin A accumulation is induced using a farnesyltransferase inhibitor in glioblastoma cell lines and in patient-derived GSCs, coltured both as monolayer and as 3D spheroids. Immunofluorescence analyses are performed to evaluate the effects of prelamin A accumulation on Cx20 intracellular distribution.</w:t>
      </w:r>
    </w:p>
    <w:p w14:paraId="5171818D" w14:textId="77777777" w:rsidR="00BE57EB" w:rsidRDefault="00E204C6" w:rsidP="00E204C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In control human astrocytes, Cx20 is predominantly localized in the perinuclear region, whereas in glioblastoma cells it shows a mainly nucleoplasmic localization, consistent with a transcriptionalrole. Drug-induced accumulation of prelamin A causes a redistribution of Cx20 toward a perinuclear localization in both glioblastoma cells and patient-derived GSCs, resem</w:t>
      </w:r>
      <w:r w:rsidR="00BE57EB">
        <w:rPr>
          <w:rFonts w:ascii="Times New Roman" w:hAnsi="Times New Roman" w:cs="Times New Roman"/>
          <w:bCs/>
          <w:iCs/>
          <w:sz w:val="20"/>
          <w:szCs w:val="20"/>
        </w:rPr>
        <w:t>bling control human astrocytes.</w:t>
      </w:r>
    </w:p>
    <w:p w14:paraId="3D29CDD0" w14:textId="00AEEAC7" w:rsidR="00EA75BE" w:rsidRPr="00CC3FFF" w:rsidRDefault="00E204C6" w:rsidP="00E204C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These findings suggest a possible link between a defect in the nuclear lamina, prelamin A accumulation, and a transcriptional pathway crucial for EMT and tumor progression, Cx20/N-cadherin. This could open new avenues for therapeutic strategies targeting GSCs, the specific cell population responsible for therapy resistance and relapse.</w:t>
      </w:r>
    </w:p>
    <w:p w14:paraId="71E779A6" w14:textId="7B84CFA7" w:rsidR="00EA75BE" w:rsidRPr="00CC3FFF" w:rsidRDefault="00EA75BE" w:rsidP="00EA75BE">
      <w:pPr>
        <w:adjustRightInd w:val="0"/>
        <w:snapToGrid w:val="0"/>
        <w:spacing w:line="260" w:lineRule="atLeast"/>
        <w:rPr>
          <w:rFonts w:ascii="Times New Roman" w:hAnsi="Times New Roman" w:cs="Times New Roman"/>
          <w:bCs/>
          <w:iCs/>
          <w:sz w:val="20"/>
          <w:szCs w:val="20"/>
        </w:rPr>
      </w:pPr>
    </w:p>
    <w:p w14:paraId="4781C46B" w14:textId="6DCA1E24" w:rsidR="00EA75BE" w:rsidRPr="00CC3FFF" w:rsidRDefault="001604DA" w:rsidP="00EA75BE">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lastRenderedPageBreak/>
        <w:t xml:space="preserve">14. </w:t>
      </w:r>
      <w:r w:rsidR="003424B8" w:rsidRPr="00CC3FFF">
        <w:rPr>
          <w:rFonts w:ascii="Times New Roman" w:hAnsi="Times New Roman" w:cs="Times New Roman"/>
          <w:b/>
          <w:bCs/>
          <w:iCs/>
          <w:caps/>
          <w:sz w:val="20"/>
          <w:szCs w:val="20"/>
        </w:rPr>
        <w:t>Pathological features of mesenchymal stromal cells isolated from human diseased vascular wall: implications for translational perspectives</w:t>
      </w:r>
    </w:p>
    <w:p w14:paraId="5859204D" w14:textId="77777777" w:rsidR="00EA75BE" w:rsidRPr="00CC3FFF" w:rsidRDefault="00EA75BE" w:rsidP="00EA75BE">
      <w:pPr>
        <w:adjustRightInd w:val="0"/>
        <w:snapToGrid w:val="0"/>
        <w:spacing w:line="260" w:lineRule="atLeast"/>
        <w:rPr>
          <w:rFonts w:ascii="Times New Roman" w:hAnsi="Times New Roman" w:cs="Times New Roman"/>
          <w:bCs/>
          <w:iCs/>
          <w:sz w:val="20"/>
          <w:szCs w:val="20"/>
        </w:rPr>
      </w:pPr>
    </w:p>
    <w:p w14:paraId="1C8AB1C8" w14:textId="3B85E828" w:rsidR="00EA75BE" w:rsidRPr="00CC3FFF" w:rsidRDefault="003424B8" w:rsidP="00EA75BE">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C. Ciavarella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Alviano</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M. Gargiulo</w:t>
      </w:r>
      <w:r w:rsidRPr="00CC3FFF">
        <w:rPr>
          <w:rFonts w:ascii="Times New Roman" w:hAnsi="Times New Roman" w:cs="Times New Roman"/>
          <w:bCs/>
          <w:iCs/>
          <w:sz w:val="20"/>
          <w:szCs w:val="20"/>
          <w:vertAlign w:val="superscript"/>
          <w:lang w:val="it-IT"/>
        </w:rPr>
        <w:t>1,3</w:t>
      </w:r>
      <w:r w:rsidRPr="00CC3FFF">
        <w:rPr>
          <w:rFonts w:ascii="Times New Roman" w:hAnsi="Times New Roman" w:cs="Times New Roman"/>
          <w:bCs/>
          <w:iCs/>
          <w:sz w:val="20"/>
          <w:szCs w:val="20"/>
          <w:lang w:val="it-IT"/>
        </w:rPr>
        <w:t>, G. Pasquinelli</w:t>
      </w:r>
      <w:r w:rsidRPr="00CC3FFF">
        <w:rPr>
          <w:rFonts w:ascii="Times New Roman" w:hAnsi="Times New Roman" w:cs="Times New Roman"/>
          <w:bCs/>
          <w:iCs/>
          <w:sz w:val="20"/>
          <w:szCs w:val="20"/>
          <w:vertAlign w:val="superscript"/>
          <w:lang w:val="it-IT"/>
        </w:rPr>
        <w:t>1,4</w:t>
      </w:r>
    </w:p>
    <w:p w14:paraId="2B61A263" w14:textId="77777777" w:rsidR="00EA75BE" w:rsidRPr="00CC3FFF" w:rsidRDefault="00EA75BE" w:rsidP="00EA75BE">
      <w:pPr>
        <w:adjustRightInd w:val="0"/>
        <w:snapToGrid w:val="0"/>
        <w:spacing w:line="260" w:lineRule="atLeast"/>
        <w:rPr>
          <w:rFonts w:ascii="Times New Roman" w:hAnsi="Times New Roman" w:cs="Times New Roman"/>
          <w:bCs/>
          <w:iCs/>
          <w:sz w:val="20"/>
          <w:szCs w:val="20"/>
          <w:lang w:val="it-IT"/>
        </w:rPr>
      </w:pPr>
    </w:p>
    <w:p w14:paraId="10B716CD" w14:textId="7E9546DA" w:rsidR="003424B8" w:rsidRPr="00CC3FFF" w:rsidRDefault="003424B8" w:rsidP="003424B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Department of Medical and Surgical Sciences (DIMEC), University of Bologna, Bologna, Italy</w:t>
      </w:r>
    </w:p>
    <w:p w14:paraId="4341655A" w14:textId="77777777" w:rsidR="00120F1C" w:rsidRPr="00CC3FFF" w:rsidRDefault="003424B8" w:rsidP="003424B8">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xml:space="preserve">Department of Biomedical and Neuromotor Sciences (DIBINEM), University of Bologna, Bologna, Italy </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Vascular Surgery Unit, IRCCS Azienda Ospedaliero-Universitaria di Bologna, Bologna, Italy</w:t>
      </w:r>
    </w:p>
    <w:p w14:paraId="2550CC11" w14:textId="05B9C82F" w:rsidR="00EA75BE" w:rsidRPr="00CC3FFF" w:rsidRDefault="003424B8" w:rsidP="003424B8">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Pathology Unit, IRCCS Azienda Ospedaliero-Universitaria di Bologna, Bologna, Italy</w:t>
      </w:r>
    </w:p>
    <w:p w14:paraId="5B9FB59F" w14:textId="77777777" w:rsidR="00EA75BE" w:rsidRPr="00CC3FFF" w:rsidRDefault="00EA75BE" w:rsidP="00EA75BE">
      <w:pPr>
        <w:adjustRightInd w:val="0"/>
        <w:snapToGrid w:val="0"/>
        <w:spacing w:line="260" w:lineRule="atLeast"/>
        <w:rPr>
          <w:rFonts w:ascii="Times New Roman" w:hAnsi="Times New Roman" w:cs="Times New Roman"/>
          <w:bCs/>
          <w:iCs/>
          <w:sz w:val="20"/>
          <w:szCs w:val="20"/>
          <w:lang w:val="it-IT"/>
        </w:rPr>
      </w:pPr>
    </w:p>
    <w:p w14:paraId="68315889" w14:textId="77777777" w:rsidR="00BE57EB" w:rsidRDefault="003424B8" w:rsidP="003424B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The vascular wall is a specialized niche of Mesenchymal Stromal Cells (MSCs) involved in vascular homeostasis. However, clinical settings characterized by unbalanced vascular remodeling, inflammation and neointimal formation may impair the reservoir and the regenerative potential of vascular MSCs. The present study was aimed to isolate and characterize MSCs from pathological vascular tissues.</w:t>
      </w:r>
    </w:p>
    <w:p w14:paraId="5BE3662E" w14:textId="21AC4074" w:rsidR="003424B8" w:rsidRPr="00CC3FFF" w:rsidRDefault="003424B8" w:rsidP="003424B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Vascular specimens were obtained from aortic tissues of 12 patients undergoing abdominal aortic aneurysm repair (AAA-MSCs) and veins of 8 chronic kidney disease (CKD) patients subjected to arteriovenous fistula procedure for hemodialysis (AVF-MSCs). MSCs were isolated by enzymatic digestion, expanded in vitro and characterized by immunophenotype and multilineage differentiation. Immunomodulatory, proliferation and migration assays were performed to investigate whether the pathological microenvironment impairs the vascular MSCs. We further explored the translational potential of the VW-MSC model by testing the efficacy of pioglitazone, a peroxisome proliferator associated receptor (PPAR-g) agonist, in the modulation of AVF-MSC pathological features.</w:t>
      </w:r>
    </w:p>
    <w:p w14:paraId="050FA439" w14:textId="339C2857" w:rsidR="003424B8" w:rsidRPr="00CC3FFF" w:rsidRDefault="003424B8" w:rsidP="003424B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MSCs isolated from AAA and AVF tissues expressed the typical mesenchymal marker panel (CD44, CD90, CD73, CD105). AAA-MSCs exhibited a pro-inflammatory property, by stimulating the activation and proliferation of peripheral blood mononuclear cells (PBMCs). Both AAA- and AVF- MSCs were endowed with the multilineage differentiation capacity, especially toward the osteogenic commitment, consistent with the calcification process found in both the pathological settings. Furthermore, AVF-MSCs displayed high proliferation and migration rates, reflecting the typical hallmarks of the neointimal lesion. These mechanisms were significantly mitigated by pioglitazone thorough a PPAR-g -mediated mechanism. Notably, pioglitazone also modulated the osteogenic differentiation process.</w:t>
      </w:r>
    </w:p>
    <w:p w14:paraId="311F3DEB" w14:textId="0CE95FFF" w:rsidR="00EA75BE" w:rsidRPr="00CC3FFF" w:rsidRDefault="003424B8" w:rsidP="003424B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Our findings show that the pathological microenvironment shapes the vascular MSC fate. The altered vascular setting compromises the regenerative potential of MSCs, driving them toward a pro-inflammatory, calcific and migratory phenotype that contribute to disease progression. Additionally, these patient-specific MSCs are suitable for disease modeling and drug testing aimed at restoring the regenerative properties of vascular MSCs as possible therapeutic strategy.</w:t>
      </w:r>
    </w:p>
    <w:p w14:paraId="3B026D50" w14:textId="5404EF57" w:rsidR="002B1E90" w:rsidRPr="00CC3FFF" w:rsidRDefault="002B1E90" w:rsidP="00EA75BE">
      <w:pPr>
        <w:adjustRightInd w:val="0"/>
        <w:snapToGrid w:val="0"/>
        <w:spacing w:line="260" w:lineRule="atLeast"/>
        <w:rPr>
          <w:rFonts w:ascii="Times New Roman" w:hAnsi="Times New Roman" w:cs="Times New Roman"/>
          <w:bCs/>
          <w:iCs/>
          <w:sz w:val="20"/>
          <w:szCs w:val="20"/>
        </w:rPr>
      </w:pPr>
    </w:p>
    <w:p w14:paraId="2BEB1606" w14:textId="5B0FC287" w:rsidR="002B1E90" w:rsidRPr="00CC3FFF" w:rsidRDefault="001604DA" w:rsidP="002B1E90">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 xml:space="preserve">15. </w:t>
      </w:r>
      <w:r w:rsidR="00174101" w:rsidRPr="00CC3FFF">
        <w:rPr>
          <w:rFonts w:ascii="Times New Roman" w:hAnsi="Times New Roman" w:cs="Times New Roman"/>
          <w:b/>
          <w:bCs/>
          <w:iCs/>
          <w:caps/>
          <w:sz w:val="20"/>
          <w:szCs w:val="20"/>
        </w:rPr>
        <w:t>In vivo evaluation of an ultrasound-stimulated smart piezoelectric nanocomposite hydrogel enriched with adipose-derived mesenchymal stromal cells for osteoarthritis treatment</w:t>
      </w:r>
    </w:p>
    <w:p w14:paraId="74B8A716" w14:textId="77777777" w:rsidR="002B1E90" w:rsidRPr="00CC3FFF" w:rsidRDefault="002B1E90" w:rsidP="002B1E90">
      <w:pPr>
        <w:adjustRightInd w:val="0"/>
        <w:snapToGrid w:val="0"/>
        <w:spacing w:line="260" w:lineRule="atLeast"/>
        <w:rPr>
          <w:rFonts w:ascii="Times New Roman" w:hAnsi="Times New Roman" w:cs="Times New Roman"/>
          <w:bCs/>
          <w:iCs/>
          <w:sz w:val="20"/>
          <w:szCs w:val="20"/>
        </w:rPr>
      </w:pPr>
    </w:p>
    <w:p w14:paraId="6AEEFF0F" w14:textId="53286474" w:rsidR="002B1E90" w:rsidRPr="00CC3FFF" w:rsidRDefault="00174101" w:rsidP="002B1E90">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G. Codispoti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Carniato</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L. Martini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Giavaresi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D’Atri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C. Manferdini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G. Lisignoli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L. Ricotti</w:t>
      </w:r>
      <w:r w:rsidRPr="00CC3FFF">
        <w:rPr>
          <w:rFonts w:ascii="Times New Roman" w:hAnsi="Times New Roman" w:cs="Times New Roman"/>
          <w:bCs/>
          <w:iCs/>
          <w:sz w:val="20"/>
          <w:szCs w:val="20"/>
          <w:vertAlign w:val="superscript"/>
          <w:lang w:val="it-IT"/>
        </w:rPr>
        <w:t>4,5</w:t>
      </w:r>
      <w:r w:rsidRPr="00CC3FFF">
        <w:rPr>
          <w:rFonts w:ascii="Times New Roman" w:hAnsi="Times New Roman" w:cs="Times New Roman"/>
          <w:bCs/>
          <w:iCs/>
          <w:sz w:val="20"/>
          <w:szCs w:val="20"/>
          <w:lang w:val="it-IT"/>
        </w:rPr>
        <w:t>, M. Tschon</w:t>
      </w:r>
      <w:r w:rsidRPr="00CC3FFF">
        <w:rPr>
          <w:rFonts w:ascii="Times New Roman" w:hAnsi="Times New Roman" w:cs="Times New Roman"/>
          <w:bCs/>
          <w:iCs/>
          <w:sz w:val="20"/>
          <w:szCs w:val="20"/>
          <w:vertAlign w:val="superscript"/>
          <w:lang w:val="it-IT"/>
        </w:rPr>
        <w:t>1</w:t>
      </w:r>
    </w:p>
    <w:p w14:paraId="5B23FBBA" w14:textId="77777777" w:rsidR="002B1E90" w:rsidRPr="00CC3FFF" w:rsidRDefault="002B1E90" w:rsidP="002B1E90">
      <w:pPr>
        <w:adjustRightInd w:val="0"/>
        <w:snapToGrid w:val="0"/>
        <w:spacing w:line="260" w:lineRule="atLeast"/>
        <w:rPr>
          <w:rFonts w:ascii="Times New Roman" w:hAnsi="Times New Roman" w:cs="Times New Roman"/>
          <w:bCs/>
          <w:iCs/>
          <w:sz w:val="20"/>
          <w:szCs w:val="20"/>
          <w:lang w:val="it-IT"/>
        </w:rPr>
      </w:pPr>
    </w:p>
    <w:p w14:paraId="55F20243" w14:textId="77777777" w:rsidR="00174101"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Surgical Sciences and Technologies, IRCCS Istituto Ortopedico Rizzoli, Bologna, Italy</w:t>
      </w:r>
    </w:p>
    <w:p w14:paraId="404D9C4E" w14:textId="21D7B8B6" w:rsidR="00174101"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Department of Veterinary Medical Sciences, University of Bologna, Bologna, Italy</w:t>
      </w:r>
    </w:p>
    <w:p w14:paraId="7C723F9D" w14:textId="77777777" w:rsidR="00174101"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Laboratory of Immunorheumatology and Tissue Regeneration, IRCCS Istituto Ortopedico Rizzoli, Bologna, Italy</w:t>
      </w:r>
    </w:p>
    <w:p w14:paraId="45FF5DB9" w14:textId="77777777" w:rsidR="00174101"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The BioRobotics Institute, Scuola Superiore Sant’Anna, Pisa, Italy</w:t>
      </w:r>
    </w:p>
    <w:p w14:paraId="6862DC06" w14:textId="11380439" w:rsidR="002B1E90"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5</w:t>
      </w:r>
      <w:r w:rsidRPr="00CC3FFF">
        <w:rPr>
          <w:rFonts w:ascii="Times New Roman" w:hAnsi="Times New Roman" w:cs="Times New Roman"/>
          <w:bCs/>
          <w:iCs/>
          <w:sz w:val="20"/>
          <w:szCs w:val="20"/>
        </w:rPr>
        <w:t>Department of Excellence in Robotics &amp; AI, Scuola Superiore Sant’Anna, Pisa, Italy</w:t>
      </w:r>
    </w:p>
    <w:p w14:paraId="339FB191" w14:textId="77777777" w:rsidR="002B1E90" w:rsidRPr="00CC3FFF" w:rsidRDefault="002B1E90" w:rsidP="002B1E90">
      <w:pPr>
        <w:adjustRightInd w:val="0"/>
        <w:snapToGrid w:val="0"/>
        <w:spacing w:line="260" w:lineRule="atLeast"/>
        <w:rPr>
          <w:rFonts w:ascii="Times New Roman" w:hAnsi="Times New Roman" w:cs="Times New Roman"/>
          <w:bCs/>
          <w:iCs/>
          <w:sz w:val="20"/>
          <w:szCs w:val="20"/>
        </w:rPr>
      </w:pPr>
    </w:p>
    <w:p w14:paraId="3FC9E3E1" w14:textId="4F6725ED" w:rsidR="00174101"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 xml:space="preserve">Osteoarthritis (OA) is a common degenerative joint disease characterized by cartilage degeneration, subchondral bone remodelling, and synovial hypertrophy, with limited long-term therapeutic </w:t>
      </w:r>
      <w:r w:rsidRPr="00CC3FFF">
        <w:rPr>
          <w:rFonts w:ascii="Times New Roman" w:hAnsi="Times New Roman" w:cs="Times New Roman"/>
          <w:bCs/>
          <w:iCs/>
          <w:sz w:val="20"/>
          <w:szCs w:val="20"/>
        </w:rPr>
        <w:lastRenderedPageBreak/>
        <w:t>options. The primary aim of this study was the efficacy evaluation of a personalized regenerative approach using a smart hydrogel enriched with piezoelectric nanomaterials (barium titanate nanoparticles and graphene oxide nanoflakes) and autologous adipose-derived stem cells (ASCs), designed to respond to low-intensity pulsed ultrasound (LIPUS) and promote chondrogenesis in two in vivo models of mild OA. The secondary aim was to investigate sex-related differences in outcomes.</w:t>
      </w:r>
    </w:p>
    <w:p w14:paraId="62D93101" w14:textId="4DCE2BB4" w:rsidR="00174101"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 and Methods: </w:t>
      </w:r>
      <w:r w:rsidRPr="00CC3FFF">
        <w:rPr>
          <w:rFonts w:ascii="Times New Roman" w:hAnsi="Times New Roman" w:cs="Times New Roman"/>
          <w:bCs/>
          <w:iCs/>
          <w:sz w:val="20"/>
          <w:szCs w:val="20"/>
        </w:rPr>
        <w:t>Knee OA was induced in rabbits and sheep via anterior cruciate ligament transection and lateral meniscectomy, respectively. Male and female rabbits received bilateral intra-articular treatments (Hydrogel+ASCs+LIPUS, Hydrogel+ASCs, LIPUS, or no treatment), while in sheep the left knee was treated with Hydrogel+ASCs+LIPUS and compared with the untreated contralateral joint. ASCs were harvested from the infrascapular region in rabbits and the infrapatellar fat pad in sheep. LIPUS was applied in five sessions over ten days. Outcomes included macroscopic and histological OA scores, histomorphometry, and local inflammatory responses at 1 and 3 months in rabbits and at 3 months in sheep.</w:t>
      </w:r>
    </w:p>
    <w:p w14:paraId="66E5D77C" w14:textId="11418737" w:rsidR="00174101"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Macroscopic analysis showed improved cartilage integrity in both male and female rabbits treated with Hydrogel+ASCs+LIPUS at 3 months. At 1 month, OARSI score was higher in females than males receiving Hydrogel+ASCs+LIPUS. Histomorphometric parameters did not differ significantly between groups. Knees treated with Hydrogel+ASCs+LIPUS or Hydrogel+ASCs exhibited a stronger</w:t>
      </w:r>
    </w:p>
    <w:p w14:paraId="1A889A39" w14:textId="77777777" w:rsidR="00174101"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inflammatory response in females compared to males. In sheep, Hydrogel+ASCs+LIPUS–treated joints demonstrated improved OARSI scores and reduced tenosynovitis as assessed by ultrasonography.</w:t>
      </w:r>
    </w:p>
    <w:p w14:paraId="5C5EC654" w14:textId="2AB963FE" w:rsidR="002B1E90" w:rsidRPr="00CC3FFF" w:rsidRDefault="00174101" w:rsidP="0017410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 multi-approach therapy combining the nanocomposite hydrogel loaded with ASCs and stimulated with LIPUS effectively slowed down the progression of OA in both medium- and large-sized animal models, showing particularly improved outcomes in females, and paves the way for personalized treatments for knee OA.</w:t>
      </w:r>
    </w:p>
    <w:p w14:paraId="38DC3BB0" w14:textId="2F827AC8" w:rsidR="002B1E90" w:rsidRPr="00CC3FFF" w:rsidRDefault="002B1E90" w:rsidP="002B1E90">
      <w:pPr>
        <w:adjustRightInd w:val="0"/>
        <w:snapToGrid w:val="0"/>
        <w:spacing w:line="260" w:lineRule="atLeast"/>
        <w:rPr>
          <w:rFonts w:ascii="Times New Roman" w:hAnsi="Times New Roman" w:cs="Times New Roman"/>
          <w:bCs/>
          <w:iCs/>
          <w:sz w:val="20"/>
          <w:szCs w:val="20"/>
        </w:rPr>
      </w:pPr>
    </w:p>
    <w:p w14:paraId="5D0E4A78" w14:textId="3583D9EB" w:rsidR="002B1E90" w:rsidRPr="00CC3FFF" w:rsidRDefault="001604DA" w:rsidP="002B1E90">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 xml:space="preserve">16. </w:t>
      </w:r>
      <w:r w:rsidR="001E0BD8" w:rsidRPr="00CC3FFF">
        <w:rPr>
          <w:rFonts w:ascii="Times New Roman" w:hAnsi="Times New Roman" w:cs="Times New Roman"/>
          <w:b/>
          <w:bCs/>
          <w:iCs/>
          <w:caps/>
          <w:sz w:val="20"/>
          <w:szCs w:val="20"/>
        </w:rPr>
        <w:t>Designing three-dimensional scaffolds to investigate limb girdle muscular dystrophy transportin 3 related</w:t>
      </w:r>
    </w:p>
    <w:p w14:paraId="084BBD48" w14:textId="77777777" w:rsidR="002B1E90" w:rsidRPr="00CC3FFF" w:rsidRDefault="002B1E90" w:rsidP="002B1E90">
      <w:pPr>
        <w:adjustRightInd w:val="0"/>
        <w:snapToGrid w:val="0"/>
        <w:spacing w:line="260" w:lineRule="atLeast"/>
        <w:rPr>
          <w:rFonts w:ascii="Times New Roman" w:hAnsi="Times New Roman" w:cs="Times New Roman"/>
          <w:bCs/>
          <w:iCs/>
          <w:sz w:val="20"/>
          <w:szCs w:val="20"/>
        </w:rPr>
      </w:pPr>
    </w:p>
    <w:p w14:paraId="5CA924E8" w14:textId="3F47F54B" w:rsidR="002B1E90" w:rsidRPr="00CC3FFF" w:rsidRDefault="001E0BD8" w:rsidP="002B1E90">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S. Pacilio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R. Costa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T. Rodia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Lombardi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L. Di Lisa</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G. Banos</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N. Didier</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E. Malfatti</w:t>
      </w:r>
      <w:r w:rsidRPr="00CC3FFF">
        <w:rPr>
          <w:rFonts w:ascii="Times New Roman" w:hAnsi="Times New Roman" w:cs="Times New Roman"/>
          <w:bCs/>
          <w:iCs/>
          <w:sz w:val="20"/>
          <w:szCs w:val="20"/>
          <w:vertAlign w:val="superscript"/>
          <w:lang w:val="it-IT"/>
        </w:rPr>
        <w:t>4,5</w:t>
      </w:r>
      <w:r w:rsidRPr="00CC3FFF">
        <w:rPr>
          <w:rFonts w:ascii="Times New Roman" w:hAnsi="Times New Roman" w:cs="Times New Roman"/>
          <w:bCs/>
          <w:iCs/>
          <w:sz w:val="20"/>
          <w:szCs w:val="20"/>
          <w:lang w:val="it-IT"/>
        </w:rPr>
        <w:t>, S. Ratti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L. Focarete</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G. Cenacchi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Alviano</w:t>
      </w:r>
      <w:r w:rsidRPr="00CC3FFF">
        <w:rPr>
          <w:rFonts w:ascii="Times New Roman" w:hAnsi="Times New Roman" w:cs="Times New Roman"/>
          <w:bCs/>
          <w:iCs/>
          <w:sz w:val="20"/>
          <w:szCs w:val="20"/>
          <w:vertAlign w:val="superscript"/>
          <w:lang w:val="it-IT"/>
        </w:rPr>
        <w:t>1</w:t>
      </w:r>
    </w:p>
    <w:p w14:paraId="0CB3F896" w14:textId="77777777" w:rsidR="002B1E90" w:rsidRPr="00CC3FFF" w:rsidRDefault="002B1E90" w:rsidP="002B1E90">
      <w:pPr>
        <w:adjustRightInd w:val="0"/>
        <w:snapToGrid w:val="0"/>
        <w:spacing w:line="260" w:lineRule="atLeast"/>
        <w:rPr>
          <w:rFonts w:ascii="Times New Roman" w:hAnsi="Times New Roman" w:cs="Times New Roman"/>
          <w:bCs/>
          <w:iCs/>
          <w:sz w:val="20"/>
          <w:szCs w:val="20"/>
          <w:lang w:val="it-IT"/>
        </w:rPr>
      </w:pPr>
    </w:p>
    <w:p w14:paraId="30A9AEC7" w14:textId="4BEE18C9" w:rsidR="001E0BD8" w:rsidRPr="00CC3FFF" w:rsidRDefault="001E0BD8" w:rsidP="001E0BD8">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Dep</w:t>
      </w:r>
      <w:r w:rsidR="005E1768" w:rsidRPr="00CC3FFF">
        <w:rPr>
          <w:rFonts w:ascii="Times New Roman" w:hAnsi="Times New Roman" w:cs="Times New Roman"/>
          <w:bCs/>
          <w:iCs/>
          <w:sz w:val="20"/>
          <w:szCs w:val="20"/>
          <w:lang w:val="it-IT"/>
        </w:rPr>
        <w:t>artmen</w:t>
      </w:r>
      <w:r w:rsidRPr="00CC3FFF">
        <w:rPr>
          <w:rFonts w:ascii="Times New Roman" w:hAnsi="Times New Roman" w:cs="Times New Roman"/>
          <w:bCs/>
          <w:iCs/>
          <w:sz w:val="20"/>
          <w:szCs w:val="20"/>
          <w:lang w:val="it-IT"/>
        </w:rPr>
        <w:t>t of Biomedical and Neuromotor Sciences, Alma Mater Studiorum-Università di Bologna, Bologna, Italy</w:t>
      </w:r>
    </w:p>
    <w:p w14:paraId="3DD17CF5" w14:textId="77777777" w:rsidR="001E382D" w:rsidRPr="00CC3FFF" w:rsidRDefault="001E0BD8" w:rsidP="001E0BD8">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Dep</w:t>
      </w:r>
      <w:r w:rsidR="005E1768" w:rsidRPr="00CC3FFF">
        <w:rPr>
          <w:rFonts w:ascii="Times New Roman" w:hAnsi="Times New Roman" w:cs="Times New Roman"/>
          <w:bCs/>
          <w:iCs/>
          <w:sz w:val="20"/>
          <w:szCs w:val="20"/>
          <w:lang w:val="it-IT"/>
        </w:rPr>
        <w:t>artmen</w:t>
      </w:r>
      <w:r w:rsidRPr="00CC3FFF">
        <w:rPr>
          <w:rFonts w:ascii="Times New Roman" w:hAnsi="Times New Roman" w:cs="Times New Roman"/>
          <w:bCs/>
          <w:iCs/>
          <w:sz w:val="20"/>
          <w:szCs w:val="20"/>
          <w:lang w:val="it-IT"/>
        </w:rPr>
        <w:t>t of Chemistry “Giacomo Ciamician”, Alma Mater Studiorum-Unive</w:t>
      </w:r>
      <w:r w:rsidR="001E382D" w:rsidRPr="00CC3FFF">
        <w:rPr>
          <w:rFonts w:ascii="Times New Roman" w:hAnsi="Times New Roman" w:cs="Times New Roman"/>
          <w:bCs/>
          <w:iCs/>
          <w:sz w:val="20"/>
          <w:szCs w:val="20"/>
          <w:lang w:val="it-IT"/>
        </w:rPr>
        <w:t>rsità di Bologna, Bologna Italy</w:t>
      </w:r>
    </w:p>
    <w:p w14:paraId="33E897B8" w14:textId="37C5E43B" w:rsidR="001E0BD8" w:rsidRPr="00CC3FFF" w:rsidRDefault="001E0BD8" w:rsidP="001E0BD8">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INSERM, EFS, IMRB, Université Paris Est Créteil, Créteil, France</w:t>
      </w:r>
    </w:p>
    <w:p w14:paraId="7D114FEC" w14:textId="77777777" w:rsidR="001E0BD8" w:rsidRPr="00CC3FFF" w:rsidRDefault="001E0BD8" w:rsidP="001E0BD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INSERM, U955, IMRB, Université Paris Est Créteil, Créteil, France</w:t>
      </w:r>
    </w:p>
    <w:p w14:paraId="43082A83" w14:textId="1C340806" w:rsidR="002B1E90" w:rsidRPr="00CC3FFF" w:rsidRDefault="001E0BD8" w:rsidP="001E0BD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5</w:t>
      </w:r>
      <w:r w:rsidRPr="00CC3FFF">
        <w:rPr>
          <w:rFonts w:ascii="Times New Roman" w:hAnsi="Times New Roman" w:cs="Times New Roman"/>
          <w:bCs/>
          <w:iCs/>
          <w:sz w:val="20"/>
          <w:szCs w:val="20"/>
        </w:rPr>
        <w:t>Reference Center for Neuromuscular Disorders, APHP Henri Mondor University Hospital, Créteil, France</w:t>
      </w:r>
    </w:p>
    <w:p w14:paraId="2B53CD77" w14:textId="77777777" w:rsidR="002B1E90" w:rsidRPr="00CC3FFF" w:rsidRDefault="002B1E90" w:rsidP="002B1E90">
      <w:pPr>
        <w:adjustRightInd w:val="0"/>
        <w:snapToGrid w:val="0"/>
        <w:spacing w:line="260" w:lineRule="atLeast"/>
        <w:rPr>
          <w:rFonts w:ascii="Times New Roman" w:hAnsi="Times New Roman" w:cs="Times New Roman"/>
          <w:bCs/>
          <w:iCs/>
          <w:sz w:val="20"/>
          <w:szCs w:val="20"/>
        </w:rPr>
      </w:pPr>
    </w:p>
    <w:p w14:paraId="27EEEB45" w14:textId="58AB0971" w:rsidR="00157E66" w:rsidRPr="00CC3FFF" w:rsidRDefault="00157E66" w:rsidP="00157E6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Limb girdle muscular dystrophies (LGMDs) are a heterogeneous group of rare inherited myopathies characterized by progressive muscle weakness and degeneration of muscle fibers. This study focuses on Limb Girdle Muscular Dystrophy D2 (LGMDD2), an autosomal dominant form caused by mutations in the transportin 3 (TNPO3) gene and characterized by muscle atrophy. We employed tissue engineering approaches to develop three-dimensional (3D) tissue-like models to study the unknown pathogenic mechanism of this disorder.</w:t>
      </w:r>
    </w:p>
    <w:p w14:paraId="74CC203B" w14:textId="73585DB5" w:rsidR="00157E66" w:rsidRPr="00CC3FFF" w:rsidRDefault="00157E66" w:rsidP="00157E6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We combined immortalized human myoblasts, derived from LGMDD2 patients, with biocompatible materials and biophysical cues within two distinct 3D scaffold systems designed to recapitulate key features of native skeletal muscle. The first model consisted of a bioprinted 3D collagen hydrogel, suitable for investigating myogenesis and exploring the role of TNPO3 in disease pathogenesis. The second model was a 3D micropillar-based platform that enabled real-time monitoring of cell contractility.</w:t>
      </w:r>
    </w:p>
    <w:p w14:paraId="7400E6B5" w14:textId="23B95E36" w:rsidR="00157E66" w:rsidRPr="00CC3FFF" w:rsidRDefault="00157E66" w:rsidP="00157E6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 xml:space="preserve">Gene and protein analyses revealed a dysregulation of myogenic differentiation in LGMDD2 compared with control samples, characterized by increased expression of MuRF-1 and p62, respectively markers of muscle atrophy and autophagy. These molecular alterations were supported by morphological </w:t>
      </w:r>
      <w:r w:rsidRPr="00CC3FFF">
        <w:rPr>
          <w:rFonts w:ascii="Times New Roman" w:hAnsi="Times New Roman" w:cs="Times New Roman"/>
          <w:bCs/>
          <w:iCs/>
          <w:sz w:val="20"/>
          <w:szCs w:val="20"/>
        </w:rPr>
        <w:lastRenderedPageBreak/>
        <w:t>analyses showing impaired differentiation, reduced sarcomeric striations, and α-actinin aggregates in LGMDD2 myoblasts. Functional assessment using electrical stimulation in the micropillar model demonstrated that LGMDD2 cells generated higher contractile forces than controls. However, contractile force production was irregular in both frequency and amplitude, suggesting functional defects possibly related to altered calcium release.</w:t>
      </w:r>
    </w:p>
    <w:p w14:paraId="3BAD13C9" w14:textId="1AA8A62E" w:rsidR="002B1E90" w:rsidRPr="00CC3FFF" w:rsidRDefault="00157E66" w:rsidP="00157E6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 </w:t>
      </w:r>
      <w:r w:rsidRPr="00CC3FFF">
        <w:rPr>
          <w:rFonts w:ascii="Times New Roman" w:hAnsi="Times New Roman" w:cs="Times New Roman"/>
          <w:bCs/>
          <w:iCs/>
          <w:sz w:val="20"/>
          <w:szCs w:val="20"/>
        </w:rPr>
        <w:t>Overall, this work presents innovative 3D in vitro platforms for modeling muscular dystrophies, offering versatile, ethical, and cost-effective alternatives to conventional 2D cell cultures and animal models for preclinical studies and drug testing.</w:t>
      </w:r>
    </w:p>
    <w:p w14:paraId="7F94B1E6" w14:textId="77777777" w:rsidR="002B1E90" w:rsidRPr="00CC3FFF" w:rsidRDefault="002B1E90" w:rsidP="002B1E90">
      <w:pPr>
        <w:adjustRightInd w:val="0"/>
        <w:snapToGrid w:val="0"/>
        <w:spacing w:line="260" w:lineRule="atLeast"/>
        <w:rPr>
          <w:rFonts w:ascii="Times New Roman" w:hAnsi="Times New Roman" w:cs="Times New Roman"/>
          <w:bCs/>
          <w:iCs/>
          <w:sz w:val="20"/>
          <w:szCs w:val="20"/>
        </w:rPr>
      </w:pPr>
    </w:p>
    <w:p w14:paraId="176DE1C7" w14:textId="48CF81F9" w:rsidR="00B123FF" w:rsidRPr="00CC3FFF" w:rsidRDefault="001604DA" w:rsidP="00B123FF">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 xml:space="preserve">17. </w:t>
      </w:r>
      <w:r w:rsidR="00B13DC1" w:rsidRPr="00CC3FFF">
        <w:rPr>
          <w:rFonts w:ascii="Times New Roman" w:hAnsi="Times New Roman" w:cs="Times New Roman"/>
          <w:b/>
          <w:bCs/>
          <w:iCs/>
          <w:caps/>
          <w:sz w:val="20"/>
          <w:szCs w:val="20"/>
        </w:rPr>
        <w:t>Development and validation of clinically-relevant large animal model of meniscal degeneration</w:t>
      </w:r>
    </w:p>
    <w:p w14:paraId="6D7B428B" w14:textId="77777777" w:rsidR="00B123FF" w:rsidRPr="00CC3FFF" w:rsidRDefault="00B123FF" w:rsidP="00B123FF">
      <w:pPr>
        <w:adjustRightInd w:val="0"/>
        <w:snapToGrid w:val="0"/>
        <w:spacing w:line="260" w:lineRule="atLeast"/>
        <w:rPr>
          <w:rFonts w:ascii="Times New Roman" w:hAnsi="Times New Roman" w:cs="Times New Roman"/>
          <w:bCs/>
          <w:iCs/>
          <w:sz w:val="20"/>
          <w:szCs w:val="20"/>
        </w:rPr>
      </w:pPr>
    </w:p>
    <w:p w14:paraId="2CB4B1A1" w14:textId="60D3E195" w:rsidR="00B123FF" w:rsidRPr="00CC3FFF" w:rsidRDefault="00B13DC1" w:rsidP="00B123FF">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D. D’Arrigo</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P. Conte</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Anzillotti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B. Canciani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V. R. Herrera Millar</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A. Di Giancamillo</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L. De Girolamo</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G. Peretti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A. M. Crovace</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E. Kon</w:t>
      </w:r>
      <w:r w:rsidRPr="00CC3FFF">
        <w:rPr>
          <w:rFonts w:ascii="Times New Roman" w:hAnsi="Times New Roman" w:cs="Times New Roman"/>
          <w:bCs/>
          <w:iCs/>
          <w:sz w:val="20"/>
          <w:szCs w:val="20"/>
          <w:vertAlign w:val="superscript"/>
          <w:lang w:val="it-IT"/>
        </w:rPr>
        <w:t>1,2</w:t>
      </w:r>
    </w:p>
    <w:p w14:paraId="003C60B7" w14:textId="77777777" w:rsidR="00B123FF" w:rsidRPr="00CC3FFF" w:rsidRDefault="00B123FF" w:rsidP="00B123FF">
      <w:pPr>
        <w:adjustRightInd w:val="0"/>
        <w:snapToGrid w:val="0"/>
        <w:spacing w:line="260" w:lineRule="atLeast"/>
        <w:rPr>
          <w:rFonts w:ascii="Times New Roman" w:hAnsi="Times New Roman" w:cs="Times New Roman"/>
          <w:bCs/>
          <w:iCs/>
          <w:sz w:val="20"/>
          <w:szCs w:val="20"/>
          <w:lang w:val="it-IT"/>
        </w:rPr>
      </w:pPr>
    </w:p>
    <w:p w14:paraId="01440132" w14:textId="77777777" w:rsidR="00B13DC1" w:rsidRPr="00CC3FFF" w:rsidRDefault="00B13DC1" w:rsidP="00B13DC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Humanitas University, Pieve Emanuele (Lombardia), Italy</w:t>
      </w:r>
    </w:p>
    <w:p w14:paraId="28EE84D3" w14:textId="77777777" w:rsidR="00B13DC1" w:rsidRPr="00CC3FFF" w:rsidRDefault="00B13DC1" w:rsidP="00B13DC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IRCCS Humanitas Research Hospital, Rozzano (Lombardia), Italy</w:t>
      </w:r>
    </w:p>
    <w:p w14:paraId="616A6C31" w14:textId="77777777" w:rsidR="00B13DC1" w:rsidRPr="00CC3FFF" w:rsidRDefault="00B13DC1" w:rsidP="00B13DC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IRCCS Galeazzi-Sant’Ambrogio Orthopaedic Institute, Milan (Lombardia), Italy</w:t>
      </w:r>
    </w:p>
    <w:p w14:paraId="4AC57B77" w14:textId="77777777" w:rsidR="00B13DC1" w:rsidRPr="00CC3FFF" w:rsidRDefault="00B13DC1" w:rsidP="00B13DC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University of Milano, Milan (Lombardia), Italy</w:t>
      </w:r>
    </w:p>
    <w:p w14:paraId="4E80F8DE" w14:textId="151E565B" w:rsidR="00B123FF" w:rsidRPr="00CC3FFF" w:rsidRDefault="00B13DC1" w:rsidP="00B13DC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University of Sassari, Sassari (Sardegna), Italy</w:t>
      </w:r>
    </w:p>
    <w:p w14:paraId="60A757F8" w14:textId="77777777" w:rsidR="00B123FF" w:rsidRPr="00CC3FFF" w:rsidRDefault="00B123FF" w:rsidP="00B123FF">
      <w:pPr>
        <w:adjustRightInd w:val="0"/>
        <w:snapToGrid w:val="0"/>
        <w:spacing w:line="260" w:lineRule="atLeast"/>
        <w:rPr>
          <w:rFonts w:ascii="Times New Roman" w:hAnsi="Times New Roman" w:cs="Times New Roman"/>
          <w:bCs/>
          <w:iCs/>
          <w:sz w:val="20"/>
          <w:szCs w:val="20"/>
          <w:lang w:val="it-IT"/>
        </w:rPr>
      </w:pPr>
    </w:p>
    <w:p w14:paraId="4EF9CC50" w14:textId="449D7C21" w:rsidR="00B13DC1" w:rsidRPr="00CC3FFF" w:rsidRDefault="00B13DC1" w:rsidP="00B13DC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Meniscal lesions are among the most common knee injuries that frequently progress to joint degeneration, especially within the avascular white zone, where intrinsic healing is limited. Mesenchymal stromal cells (MSCs) are key players in current meniscal regenerative strategies and in meniscus</w:t>
      </w:r>
    </w:p>
    <w:p w14:paraId="601FF5D2" w14:textId="77777777" w:rsidR="00B13DC1" w:rsidRPr="00CC3FFF" w:rsidRDefault="00B13DC1" w:rsidP="00B13DC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tissue engineering (MTE) approaches, but their clinical translation is still limited by the lack of robust, pathophysiologically relevant large-animal models. Therefore, this study aimed to develop and validate an ovine model that replicates human-like meniscal degeneration and provides a meaningful platform to evaluate MSC-based and cell-free MTE strategies.</w:t>
      </w:r>
    </w:p>
    <w:p w14:paraId="6F51F0FA" w14:textId="07EF6C77" w:rsidR="00B13DC1" w:rsidRPr="00CC3FFF" w:rsidRDefault="00B13DC1" w:rsidP="00B13DC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Three surgical procedures were performed and compared in an ovine model (n=32 stifle joints): 1) direct arthroscopic mechanical injury in the medial meniscus; 2) peripheral devascularization and denervation; and 3) a full-thickness cartilage lesion in the medial femoral condyle. Contralateral knees served as controls. After three months, macroscopic, morphological, and histological analyses were performed to quantify the degeneration processes, with particular attention to meniscal alterations and early cartilage changes that can be relevant for MSC-mediated regeneration.</w:t>
      </w:r>
    </w:p>
    <w:p w14:paraId="70055DC0" w14:textId="76B7D5F7" w:rsidR="00B13DC1" w:rsidRPr="00CC3FFF" w:rsidRDefault="00B13DC1" w:rsidP="00B13DC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All the three surgeries generated distinct patterns of meniscal and cartilage degeneration. The arthroscopic group showed a gradual and progressive degenerative environment that most closely mirrored human degenerative meniscal tears and early osteoarthritic changes. This model reproduced the heterogeneous environment into which MSCs or MSC-responsive scaffolds are expected to</w:t>
      </w:r>
    </w:p>
    <w:p w14:paraId="18EA8A16" w14:textId="77777777" w:rsidR="00B13DC1" w:rsidRPr="00CC3FFF" w:rsidRDefault="00B13DC1" w:rsidP="00B13DC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act, including matrix disruption, early inflammatory features, and region-specific biochemical and mechanical alterations.</w:t>
      </w:r>
    </w:p>
    <w:p w14:paraId="7DB9CB4C" w14:textId="4A9283A5" w:rsidR="00B13DC1" w:rsidRPr="00CC3FFF" w:rsidRDefault="00B13DC1" w:rsidP="00B13DC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 validated ovine model offers a robust, reproducible preclinical platform that addresses a key translational bottleneck in MTE research. Its degenerative trajectory is similar to what is observed in humans, making it suitable for testing direct MSC delivery, MSC–scaffold constructs, and next-generation cell-free scaffolds designed to recruit endogenous MSCs. By providing a controlled physiopathological environment, this model could accelerate the development of MSC-based regenerative therapies and clinically relevant solutions for meniscal repair.</w:t>
      </w:r>
    </w:p>
    <w:p w14:paraId="5BB91D1E" w14:textId="77777777" w:rsidR="00B13DC1" w:rsidRPr="00CC3FFF" w:rsidRDefault="00B13DC1" w:rsidP="00B13DC1">
      <w:pPr>
        <w:adjustRightInd w:val="0"/>
        <w:snapToGrid w:val="0"/>
        <w:spacing w:line="260" w:lineRule="atLeast"/>
        <w:rPr>
          <w:rFonts w:ascii="Times New Roman" w:hAnsi="Times New Roman" w:cs="Times New Roman"/>
          <w:bCs/>
          <w:iCs/>
          <w:sz w:val="20"/>
          <w:szCs w:val="20"/>
        </w:rPr>
      </w:pPr>
    </w:p>
    <w:p w14:paraId="1C40FCBB" w14:textId="679EE123" w:rsidR="00EA75BE" w:rsidRPr="00CC3FFF" w:rsidRDefault="00B13DC1" w:rsidP="00B13DC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Funded by the European Union – Next Generation EU – PNRR M6C2 – Project PNRR-MAD-2022-12375978, CUP: E23C22000770006</w:t>
      </w:r>
    </w:p>
    <w:p w14:paraId="00B926F2" w14:textId="77777777" w:rsidR="00B123FF" w:rsidRPr="00CC3FFF" w:rsidRDefault="00B123FF" w:rsidP="009C2C61">
      <w:pPr>
        <w:adjustRightInd w:val="0"/>
        <w:snapToGrid w:val="0"/>
        <w:spacing w:line="260" w:lineRule="atLeast"/>
        <w:rPr>
          <w:rFonts w:ascii="Times New Roman" w:hAnsi="Times New Roman" w:cs="Times New Roman"/>
          <w:bCs/>
          <w:iCs/>
          <w:sz w:val="20"/>
          <w:szCs w:val="20"/>
        </w:rPr>
      </w:pPr>
    </w:p>
    <w:p w14:paraId="05DC4D34" w14:textId="437FCFFB" w:rsidR="009C2C61" w:rsidRPr="00CC3FFF" w:rsidRDefault="001604DA" w:rsidP="009C2C61">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 xml:space="preserve">18. </w:t>
      </w:r>
      <w:r w:rsidR="00C47D81" w:rsidRPr="00CC3FFF">
        <w:rPr>
          <w:rFonts w:ascii="Times New Roman" w:hAnsi="Times New Roman" w:cs="Times New Roman"/>
          <w:b/>
          <w:bCs/>
          <w:iCs/>
          <w:caps/>
          <w:sz w:val="20"/>
          <w:szCs w:val="20"/>
        </w:rPr>
        <w:t>Injectable and bioprintable RGD-functionalized hydrogels support chondrogenic differentiation of adipose mesenchymal stromal cells</w:t>
      </w:r>
    </w:p>
    <w:p w14:paraId="6F8A8659" w14:textId="77777777" w:rsidR="009C2C61" w:rsidRPr="00CC3FFF" w:rsidRDefault="009C2C61" w:rsidP="009C2C61">
      <w:pPr>
        <w:adjustRightInd w:val="0"/>
        <w:snapToGrid w:val="0"/>
        <w:spacing w:line="260" w:lineRule="atLeast"/>
        <w:rPr>
          <w:rFonts w:ascii="Times New Roman" w:hAnsi="Times New Roman" w:cs="Times New Roman"/>
          <w:bCs/>
          <w:iCs/>
          <w:sz w:val="20"/>
          <w:szCs w:val="20"/>
        </w:rPr>
      </w:pPr>
    </w:p>
    <w:p w14:paraId="305108F5" w14:textId="38923376" w:rsidR="009C2C61" w:rsidRPr="00CC3FFF" w:rsidRDefault="00C47D81" w:rsidP="009C2C6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lastRenderedPageBreak/>
        <w:t>G. D’Atri</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Cristina Manferdini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Diego Trucco</w:t>
      </w:r>
      <w:r w:rsidRPr="00CC3FFF">
        <w:rPr>
          <w:rFonts w:ascii="Times New Roman" w:hAnsi="Times New Roman" w:cs="Times New Roman"/>
          <w:bCs/>
          <w:iCs/>
          <w:sz w:val="20"/>
          <w:szCs w:val="20"/>
          <w:vertAlign w:val="superscript"/>
          <w:lang w:val="it-IT"/>
        </w:rPr>
        <w:t>3,4</w:t>
      </w:r>
      <w:r w:rsidRPr="00CC3FFF">
        <w:rPr>
          <w:rFonts w:ascii="Times New Roman" w:hAnsi="Times New Roman" w:cs="Times New Roman"/>
          <w:bCs/>
          <w:iCs/>
          <w:sz w:val="20"/>
          <w:szCs w:val="20"/>
          <w:lang w:val="it-IT"/>
        </w:rPr>
        <w:t>, Marta Columbaro</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Giorgia Codispoti</w:t>
      </w:r>
      <w:r w:rsidRPr="00CC3FFF">
        <w:rPr>
          <w:rFonts w:ascii="Times New Roman" w:hAnsi="Times New Roman" w:cs="Times New Roman"/>
          <w:bCs/>
          <w:iCs/>
          <w:sz w:val="20"/>
          <w:szCs w:val="20"/>
          <w:vertAlign w:val="superscript"/>
          <w:lang w:val="it-IT"/>
        </w:rPr>
        <w:t>6</w:t>
      </w:r>
      <w:r w:rsidRPr="00CC3FFF">
        <w:rPr>
          <w:rFonts w:ascii="Times New Roman" w:hAnsi="Times New Roman" w:cs="Times New Roman"/>
          <w:bCs/>
          <w:iCs/>
          <w:sz w:val="20"/>
          <w:szCs w:val="20"/>
          <w:lang w:val="it-IT"/>
        </w:rPr>
        <w:t>, Elena Gabusi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Enrico Lenzi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Gabriela Graziani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Leonardo Ricotti</w:t>
      </w:r>
      <w:r w:rsidRPr="00CC3FFF">
        <w:rPr>
          <w:rFonts w:ascii="Times New Roman" w:hAnsi="Times New Roman" w:cs="Times New Roman"/>
          <w:bCs/>
          <w:iCs/>
          <w:sz w:val="20"/>
          <w:szCs w:val="20"/>
          <w:vertAlign w:val="superscript"/>
          <w:lang w:val="it-IT"/>
        </w:rPr>
        <w:t>3,4</w:t>
      </w:r>
      <w:r w:rsidRPr="00CC3FFF">
        <w:rPr>
          <w:rFonts w:ascii="Times New Roman" w:hAnsi="Times New Roman" w:cs="Times New Roman"/>
          <w:bCs/>
          <w:iCs/>
          <w:sz w:val="20"/>
          <w:szCs w:val="20"/>
          <w:lang w:val="it-IT"/>
        </w:rPr>
        <w:t>, Gina Lisignoli</w:t>
      </w:r>
      <w:r w:rsidRPr="00CC3FFF">
        <w:rPr>
          <w:rFonts w:ascii="Times New Roman" w:hAnsi="Times New Roman" w:cs="Times New Roman"/>
          <w:bCs/>
          <w:iCs/>
          <w:sz w:val="20"/>
          <w:szCs w:val="20"/>
          <w:vertAlign w:val="superscript"/>
          <w:lang w:val="it-IT"/>
        </w:rPr>
        <w:t>1</w:t>
      </w:r>
    </w:p>
    <w:p w14:paraId="0F4168BC" w14:textId="77777777" w:rsidR="009C2C61" w:rsidRPr="00CC3FFF" w:rsidRDefault="009C2C61" w:rsidP="009C2C61">
      <w:pPr>
        <w:adjustRightInd w:val="0"/>
        <w:snapToGrid w:val="0"/>
        <w:spacing w:line="260" w:lineRule="atLeast"/>
        <w:rPr>
          <w:rFonts w:ascii="Times New Roman" w:hAnsi="Times New Roman" w:cs="Times New Roman"/>
          <w:bCs/>
          <w:iCs/>
          <w:sz w:val="20"/>
          <w:szCs w:val="20"/>
          <w:lang w:val="it-IT"/>
        </w:rPr>
      </w:pPr>
    </w:p>
    <w:p w14:paraId="183B73B9" w14:textId="21A5B4D1" w:rsidR="001E382D" w:rsidRPr="00CC3FFF" w:rsidRDefault="00C47D81" w:rsidP="00C47D8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xml:space="preserve">IRCCS Istituto Ortopedico Rizzoli, Laboratorio di Immunologia e Rigenerazione Tissutale, Bologna, Italy </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xml:space="preserve">Politecnico di Milano, </w:t>
      </w:r>
      <w:r w:rsidR="00AC5CDC">
        <w:rPr>
          <w:rFonts w:ascii="Times New Roman" w:hAnsi="Times New Roman" w:cs="Times New Roman"/>
          <w:bCs/>
          <w:iCs/>
          <w:sz w:val="20"/>
          <w:szCs w:val="20"/>
          <w:lang w:val="it-IT"/>
        </w:rPr>
        <w:t>Department</w:t>
      </w:r>
      <w:r w:rsidRPr="00CC3FFF">
        <w:rPr>
          <w:rFonts w:ascii="Times New Roman" w:hAnsi="Times New Roman" w:cs="Times New Roman"/>
          <w:bCs/>
          <w:iCs/>
          <w:sz w:val="20"/>
          <w:szCs w:val="20"/>
          <w:lang w:val="it-IT"/>
        </w:rPr>
        <w:t xml:space="preserve"> of Chemistry, Materials and Chemical Engineering “Giulio Natta”, Milan, Italy</w:t>
      </w:r>
    </w:p>
    <w:p w14:paraId="35D42583" w14:textId="209BE8B7" w:rsidR="00C47D81" w:rsidRPr="00CC3FFF" w:rsidRDefault="00C47D81" w:rsidP="00C47D8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The BioRobotics Institute, Scuola Superiore Sant’Anna, Piazza Martiri della Libertà, Pisa, Italy</w:t>
      </w:r>
    </w:p>
    <w:p w14:paraId="26AFD295" w14:textId="1832DF83" w:rsidR="00C47D81" w:rsidRPr="00CC3FFF" w:rsidRDefault="00C47D81" w:rsidP="00C47D8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Dep</w:t>
      </w:r>
      <w:r w:rsidR="005E1768" w:rsidRPr="00CC3FFF">
        <w:rPr>
          <w:rFonts w:ascii="Times New Roman" w:hAnsi="Times New Roman" w:cs="Times New Roman"/>
          <w:bCs/>
          <w:iCs/>
          <w:sz w:val="20"/>
          <w:szCs w:val="20"/>
          <w:lang w:val="it-IT"/>
        </w:rPr>
        <w:t>artmen</w:t>
      </w:r>
      <w:r w:rsidRPr="00CC3FFF">
        <w:rPr>
          <w:rFonts w:ascii="Times New Roman" w:hAnsi="Times New Roman" w:cs="Times New Roman"/>
          <w:bCs/>
          <w:iCs/>
          <w:sz w:val="20"/>
          <w:szCs w:val="20"/>
          <w:lang w:val="it-IT"/>
        </w:rPr>
        <w:t>t of Excellence in Robotics&amp;AI, Scuola Superiore Sant’Anna, Piazza Martiri della Libertà, Pisa, Italy</w:t>
      </w:r>
    </w:p>
    <w:p w14:paraId="422E5640" w14:textId="77777777" w:rsidR="00C47D81" w:rsidRPr="00CC3FFF" w:rsidRDefault="00C47D81" w:rsidP="00C47D8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Electron Microscopy Platform, IRCCS Istituto Ortopedico Rizzoli, Bologna, Italy</w:t>
      </w:r>
    </w:p>
    <w:p w14:paraId="669664B8" w14:textId="06AFB0F7" w:rsidR="009C2C61" w:rsidRPr="00CC3FFF" w:rsidRDefault="00C47D81" w:rsidP="00C47D8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6</w:t>
      </w:r>
      <w:r w:rsidRPr="00CC3FFF">
        <w:rPr>
          <w:rFonts w:ascii="Times New Roman" w:hAnsi="Times New Roman" w:cs="Times New Roman"/>
          <w:bCs/>
          <w:iCs/>
          <w:sz w:val="20"/>
          <w:szCs w:val="20"/>
          <w:lang w:val="it-IT"/>
        </w:rPr>
        <w:t>IRCCS Istituto Ortopedico Rizzoli, Struttura Complessa Scienze e Tecnologie Chirurgiche, Bologna, Italy</w:t>
      </w:r>
    </w:p>
    <w:p w14:paraId="2D2D988D" w14:textId="77777777" w:rsidR="009C2C61" w:rsidRPr="00CC3FFF" w:rsidRDefault="009C2C61" w:rsidP="009C2C61">
      <w:pPr>
        <w:adjustRightInd w:val="0"/>
        <w:snapToGrid w:val="0"/>
        <w:spacing w:line="260" w:lineRule="atLeast"/>
        <w:rPr>
          <w:rFonts w:ascii="Times New Roman" w:hAnsi="Times New Roman" w:cs="Times New Roman"/>
          <w:bCs/>
          <w:iCs/>
          <w:sz w:val="20"/>
          <w:szCs w:val="20"/>
          <w:lang w:val="it-IT"/>
        </w:rPr>
      </w:pPr>
    </w:p>
    <w:p w14:paraId="79F69B68" w14:textId="2FA15DF3" w:rsidR="00C47D81" w:rsidRPr="00CC3FFF" w:rsidRDefault="00C47D81" w:rsidP="00C47D8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Articular cartilage lesions represent a major clinical challenge due to limited regenerative capacity, particularly in osteoarthritis (OA), and tissue engineering approaches combining a range of biomaterials, cells and growth factors may offer promising alternatives. Hydrogels, by mimicking the extracellular matrix (ECM), may influence cell behavior. Therefore, we aimed to evaluate whether injectable and bioprintable hydrogels contribute differently to the in vitro chondrogenic differentiation of human adipose-derived stromal cells (hASCs).</w:t>
      </w:r>
    </w:p>
    <w:p w14:paraId="2B038665" w14:textId="33CD2E11" w:rsidR="00C47D81" w:rsidRPr="00CC3FFF" w:rsidRDefault="00C47D81" w:rsidP="00C47D8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Two commercial hydrogels functionalized with arginine-glycine-aspartic acid (RGD) motifs, VG-RGD (injectable) and VINK-RGD (bioprintable) were evaluated using human adipose-derived stromal cells. Rheological and mechanical properties, printability, and cytocompatibility were assessed. Printing parameters were chosen to print 3D cell-embedded construct (Discovery 3D, RegenHu) with interconnected pores to guarantee nutrients permeability using extrusion technology. Chondrogenic differentiation was evaluated at multiple time points (day 2, 10, 28) via real-time PCR, immunohistochemistry, transmission electron microscopy (TEM) and attenuated total reflectance Fourier transform infrared spectroscopy (ATR-FTIR).</w:t>
      </w:r>
    </w:p>
    <w:p w14:paraId="74B69CF7" w14:textId="5127BA65" w:rsidR="00C47D81" w:rsidRPr="00CC3FFF" w:rsidRDefault="00C47D81" w:rsidP="00C47D81">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ATR-FTIR showed that RGD-functionalized hydrogels exhibit the characteristic bands of sodium alginate. Rheological analysis revealed shear-thinning behavior in both VG-RGD and VINK-RGD, with stiffness range from 1.30 to 3.66 kPa, respectively. VINK-RGD exhibited superior shear-thinning behavior and structural fidelity post-printing. Both hydrogels well supported hASCs viability and did not show cytotoxic effects. VG-RGD and VINK-RGD supported the expression of key chondrogenic</w:t>
      </w:r>
    </w:p>
    <w:p w14:paraId="1CB09E54" w14:textId="77777777" w:rsidR="00C47D81" w:rsidRPr="00CC3FFF" w:rsidRDefault="00C47D81" w:rsidP="00C47D8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markers COL2A1, SOX9 and ACAN, which significantly increased over time, while COL1A1 expression decreased in VINK-RGD by day 28. ATR-FTIR confirmed the formation of collagen type II in both hydrogels, while TEM revealed more organized fibrillar collagen structures in VG-RGD.</w:t>
      </w:r>
    </w:p>
    <w:p w14:paraId="0AC8116B" w14:textId="0BDC1C82" w:rsidR="009C2C61" w:rsidRPr="00CC3FFF" w:rsidRDefault="00C47D81" w:rsidP="00C47D81">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VG-RGD and VINK-RGD hydrogels both effectively support chondrogenic differentiation and extracellular matrix remodeling. This study provides the first direct comparison of injectable and bioprintable RGD-modified hydrogels under identical cell and culture conditions, offering critical insights for the rationale selection of materials in cartilage tissue engineering.</w:t>
      </w:r>
    </w:p>
    <w:p w14:paraId="575A9243" w14:textId="71BB84E0" w:rsidR="00F450E6" w:rsidRPr="00CC3FFF" w:rsidRDefault="00F450E6" w:rsidP="009C2C61">
      <w:pPr>
        <w:adjustRightInd w:val="0"/>
        <w:snapToGrid w:val="0"/>
        <w:spacing w:line="260" w:lineRule="atLeast"/>
        <w:rPr>
          <w:rFonts w:ascii="Times New Roman" w:hAnsi="Times New Roman" w:cs="Times New Roman"/>
          <w:bCs/>
          <w:iCs/>
          <w:sz w:val="20"/>
          <w:szCs w:val="20"/>
        </w:rPr>
      </w:pPr>
    </w:p>
    <w:p w14:paraId="7BF4514B" w14:textId="77777777" w:rsidR="00C47D81" w:rsidRPr="00CC3FFF" w:rsidRDefault="001604DA" w:rsidP="00C47D81">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19. </w:t>
      </w:r>
      <w:r w:rsidR="00C47D81" w:rsidRPr="00CC3FFF">
        <w:rPr>
          <w:rFonts w:ascii="Times New Roman" w:hAnsi="Times New Roman" w:cs="Times New Roman"/>
          <w:b/>
          <w:bCs/>
          <w:iCs/>
          <w:caps/>
          <w:sz w:val="20"/>
          <w:szCs w:val="20"/>
        </w:rPr>
        <w:t>Mesenchymal stem cell fate across monoclonal gammopathies: from single-cell profiling to 3D niche modeling</w:t>
      </w:r>
    </w:p>
    <w:p w14:paraId="37FFF261" w14:textId="170D8001" w:rsidR="00EB7ABC" w:rsidRPr="00CC3FFF" w:rsidRDefault="00EB7ABC" w:rsidP="00EB7ABC">
      <w:pPr>
        <w:adjustRightInd w:val="0"/>
        <w:snapToGrid w:val="0"/>
        <w:spacing w:line="260" w:lineRule="atLeast"/>
        <w:rPr>
          <w:rFonts w:ascii="Times New Roman" w:hAnsi="Times New Roman" w:cs="Times New Roman"/>
          <w:bCs/>
          <w:iCs/>
          <w:sz w:val="20"/>
          <w:szCs w:val="20"/>
        </w:rPr>
      </w:pPr>
    </w:p>
    <w:p w14:paraId="4AB0B9F5" w14:textId="7D2BC752" w:rsidR="00C47D81" w:rsidRPr="00CC3FFF" w:rsidRDefault="00C47D81" w:rsidP="00C47D8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M. Dessena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Mohammadi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C. Manferdini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C. Sitzia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T. Torelli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A. Guidi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G. D’Atri</w:t>
      </w:r>
      <w:r w:rsidRPr="00CC3FFF">
        <w:rPr>
          <w:rFonts w:ascii="Times New Roman" w:hAnsi="Times New Roman" w:cs="Times New Roman"/>
          <w:bCs/>
          <w:iCs/>
          <w:sz w:val="20"/>
          <w:szCs w:val="20"/>
          <w:vertAlign w:val="superscript"/>
          <w:lang w:val="it-IT"/>
        </w:rPr>
        <w:t>2,4</w:t>
      </w:r>
      <w:r w:rsidRPr="00CC3FFF">
        <w:rPr>
          <w:rFonts w:ascii="Times New Roman" w:hAnsi="Times New Roman" w:cs="Times New Roman"/>
          <w:bCs/>
          <w:iCs/>
          <w:sz w:val="20"/>
          <w:szCs w:val="20"/>
          <w:lang w:val="it-IT"/>
        </w:rPr>
        <w:t>, R. Vescovini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Scita</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D</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Toscani</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A</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Poletti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N</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T</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Iannozzi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V</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Raimondi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O</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Lungu</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Ricci</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G</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Todaro</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G</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Sammarelli</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A</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B</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Dalla Palma</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L</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Agnelli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G</w:t>
      </w:r>
      <w:r w:rsidR="00C02E0A" w:rsidRPr="00CC3FFF">
        <w:rPr>
          <w:rFonts w:ascii="Times New Roman" w:hAnsi="Times New Roman" w:cs="Times New Roman"/>
          <w:bCs/>
          <w:iCs/>
          <w:sz w:val="20"/>
          <w:szCs w:val="20"/>
          <w:lang w:val="it-IT"/>
        </w:rPr>
        <w:t xml:space="preserve">. </w:t>
      </w:r>
      <w:r w:rsidRPr="00CC3FFF">
        <w:rPr>
          <w:rFonts w:ascii="Times New Roman" w:hAnsi="Times New Roman" w:cs="Times New Roman"/>
          <w:bCs/>
          <w:iCs/>
          <w:sz w:val="20"/>
          <w:szCs w:val="20"/>
          <w:lang w:val="it-IT"/>
        </w:rPr>
        <w:t>Lisignoli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N</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Giuliani</w:t>
      </w:r>
      <w:r w:rsidRPr="00CC3FFF">
        <w:rPr>
          <w:rFonts w:ascii="Times New Roman" w:hAnsi="Times New Roman" w:cs="Times New Roman"/>
          <w:bCs/>
          <w:iCs/>
          <w:sz w:val="20"/>
          <w:szCs w:val="20"/>
          <w:vertAlign w:val="superscript"/>
          <w:lang w:val="it-IT"/>
        </w:rPr>
        <w:t>1,5</w:t>
      </w:r>
      <w:r w:rsidRPr="00CC3FFF">
        <w:rPr>
          <w:rFonts w:ascii="Times New Roman" w:hAnsi="Times New Roman" w:cs="Times New Roman"/>
          <w:bCs/>
          <w:iCs/>
          <w:sz w:val="20"/>
          <w:szCs w:val="20"/>
          <w:lang w:val="it-IT"/>
        </w:rPr>
        <w:t>, P</w:t>
      </w:r>
      <w:r w:rsidR="00C02E0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Storti</w:t>
      </w:r>
      <w:r w:rsidRPr="00CC3FFF">
        <w:rPr>
          <w:rFonts w:ascii="Times New Roman" w:hAnsi="Times New Roman" w:cs="Times New Roman"/>
          <w:bCs/>
          <w:iCs/>
          <w:sz w:val="20"/>
          <w:szCs w:val="20"/>
          <w:vertAlign w:val="superscript"/>
          <w:lang w:val="it-IT"/>
        </w:rPr>
        <w:t>1</w:t>
      </w:r>
    </w:p>
    <w:p w14:paraId="6AE6BC09" w14:textId="77777777" w:rsidR="00EB7ABC" w:rsidRPr="00CC3FFF" w:rsidRDefault="00EB7ABC" w:rsidP="00EB7ABC">
      <w:pPr>
        <w:adjustRightInd w:val="0"/>
        <w:snapToGrid w:val="0"/>
        <w:spacing w:line="260" w:lineRule="atLeast"/>
        <w:rPr>
          <w:rFonts w:ascii="Times New Roman" w:hAnsi="Times New Roman" w:cs="Times New Roman"/>
          <w:bCs/>
          <w:iCs/>
          <w:sz w:val="20"/>
          <w:szCs w:val="20"/>
          <w:lang w:val="it-IT"/>
        </w:rPr>
      </w:pPr>
    </w:p>
    <w:p w14:paraId="3CB539C7" w14:textId="61E62EFC" w:rsidR="00C02E0A" w:rsidRPr="00CC3FFF" w:rsidRDefault="00C02E0A" w:rsidP="00C02E0A">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Dipartimento di Medicina e Chirurgia, Università di Parma</w:t>
      </w:r>
      <w:r w:rsidR="005E1768" w:rsidRPr="00CC3FFF">
        <w:rPr>
          <w:rFonts w:ascii="Times New Roman" w:hAnsi="Times New Roman" w:cs="Times New Roman"/>
          <w:bCs/>
          <w:iCs/>
          <w:sz w:val="20"/>
          <w:szCs w:val="20"/>
          <w:lang w:val="it-IT"/>
        </w:rPr>
        <w:t>, Parma, Italy</w:t>
      </w:r>
    </w:p>
    <w:p w14:paraId="0F765DD7" w14:textId="4B87AA39" w:rsidR="00C02E0A" w:rsidRPr="00CC3FFF" w:rsidRDefault="00C02E0A" w:rsidP="00C02E0A">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Laboratorio di Immunoreumatologia e Rigenerazione Tissutale, IRCCS Istituto Ortopedico Rizzoli</w:t>
      </w:r>
      <w:r w:rsidR="005E1768" w:rsidRPr="00CC3FFF">
        <w:rPr>
          <w:rFonts w:ascii="Times New Roman" w:hAnsi="Times New Roman" w:cs="Times New Roman"/>
          <w:bCs/>
          <w:iCs/>
          <w:sz w:val="20"/>
          <w:szCs w:val="20"/>
          <w:lang w:val="it-IT"/>
        </w:rPr>
        <w:t>, Bologna, Italy</w:t>
      </w:r>
    </w:p>
    <w:p w14:paraId="4AFAACB7" w14:textId="5A8252DB" w:rsidR="00C02E0A" w:rsidRPr="00CC3FFF" w:rsidRDefault="00C02E0A" w:rsidP="00C02E0A">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Dipartimento di Diagnostica Innovativa, IRCCS Istituto Nazionale dei Tumori</w:t>
      </w:r>
      <w:r w:rsidR="00F845C8" w:rsidRPr="00CC3FFF">
        <w:rPr>
          <w:rFonts w:ascii="Times New Roman" w:hAnsi="Times New Roman" w:cs="Times New Roman"/>
          <w:bCs/>
          <w:iCs/>
          <w:sz w:val="20"/>
          <w:szCs w:val="20"/>
          <w:lang w:val="it-IT"/>
        </w:rPr>
        <w:t>, Milan, Italy</w:t>
      </w:r>
    </w:p>
    <w:p w14:paraId="01136A42" w14:textId="77777777" w:rsidR="005E1768" w:rsidRPr="00CC3FFF" w:rsidRDefault="00C02E0A" w:rsidP="00C02E0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Dep</w:t>
      </w:r>
      <w:r w:rsidR="005E1768" w:rsidRPr="00CC3FFF">
        <w:rPr>
          <w:rFonts w:ascii="Times New Roman" w:hAnsi="Times New Roman" w:cs="Times New Roman"/>
          <w:bCs/>
          <w:iCs/>
          <w:sz w:val="20"/>
          <w:szCs w:val="20"/>
        </w:rPr>
        <w:t>artment</w:t>
      </w:r>
      <w:r w:rsidRPr="00CC3FFF">
        <w:rPr>
          <w:rFonts w:ascii="Times New Roman" w:hAnsi="Times New Roman" w:cs="Times New Roman"/>
          <w:bCs/>
          <w:iCs/>
          <w:sz w:val="20"/>
          <w:szCs w:val="20"/>
        </w:rPr>
        <w:t>t of Chemistry, Materials and Chemical Engineering “Giulio Natta”, Politecnico di Milano, Milan, Italy</w:t>
      </w:r>
    </w:p>
    <w:p w14:paraId="0DC0B762" w14:textId="013CF160" w:rsidR="00C02E0A" w:rsidRPr="00CC3FFF" w:rsidRDefault="00C02E0A" w:rsidP="00C02E0A">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lastRenderedPageBreak/>
        <w:t>5</w:t>
      </w:r>
      <w:r w:rsidRPr="00CC3FFF">
        <w:rPr>
          <w:rFonts w:ascii="Times New Roman" w:hAnsi="Times New Roman" w:cs="Times New Roman"/>
          <w:bCs/>
          <w:iCs/>
          <w:sz w:val="20"/>
          <w:szCs w:val="20"/>
          <w:lang w:val="it-IT"/>
        </w:rPr>
        <w:t>U.O. Ematologia e CTMO, Azienda Ospedaliero-Universitaria di Parma Programma Dipartimentale Mieloma Multiplo e Gammopatie Monoclonali</w:t>
      </w:r>
      <w:r w:rsidR="005E1768" w:rsidRPr="00CC3FFF">
        <w:rPr>
          <w:rFonts w:ascii="Times New Roman" w:hAnsi="Times New Roman" w:cs="Times New Roman"/>
          <w:bCs/>
          <w:iCs/>
          <w:sz w:val="20"/>
          <w:szCs w:val="20"/>
          <w:lang w:val="it-IT"/>
        </w:rPr>
        <w:t>, Parma, Italy</w:t>
      </w:r>
    </w:p>
    <w:p w14:paraId="224E0AED" w14:textId="77777777" w:rsidR="00EB7ABC" w:rsidRPr="00CC3FFF" w:rsidRDefault="00EB7ABC" w:rsidP="00EB7ABC">
      <w:pPr>
        <w:adjustRightInd w:val="0"/>
        <w:snapToGrid w:val="0"/>
        <w:spacing w:line="260" w:lineRule="atLeast"/>
        <w:rPr>
          <w:rFonts w:ascii="Times New Roman" w:hAnsi="Times New Roman" w:cs="Times New Roman"/>
          <w:bCs/>
          <w:iCs/>
          <w:sz w:val="20"/>
          <w:szCs w:val="20"/>
          <w:lang w:val="it-IT"/>
        </w:rPr>
      </w:pPr>
    </w:p>
    <w:p w14:paraId="56FA8CCB" w14:textId="48149EA5" w:rsidR="00C02E0A" w:rsidRPr="00CC3FFF" w:rsidRDefault="00C02E0A" w:rsidP="00C02E0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Objective</w:t>
      </w:r>
      <w:r w:rsidRPr="00CC3FFF">
        <w:rPr>
          <w:rFonts w:ascii="Times New Roman" w:hAnsi="Times New Roman" w:cs="Times New Roman"/>
          <w:bCs/>
          <w:iCs/>
          <w:sz w:val="20"/>
          <w:szCs w:val="20"/>
        </w:rPr>
        <w:t>: In multiple myeloma (MM) and its precursor conditions (monoclonal gammopathy of undetermined significance (MGUS) and smoldering MM (SMM)) malignant plasma cells remodel the bone microenvironment (BME) cells, mesenchymal (MSCs) and osteoblastic cells (OBs), but mechanisms remain incompletely defined. We profiled non-hematopoietic BME cells at single-cell level across disease stages and investigated WISP2, a modulator of Wnt and TGF-β signaling.</w:t>
      </w:r>
    </w:p>
    <w:p w14:paraId="32B02D22" w14:textId="4C163B88" w:rsidR="00C02E0A" w:rsidRPr="00CC3FFF" w:rsidRDefault="00C02E0A" w:rsidP="00C02E0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Rare non-hematopoietic BME cells from 16 bone biopsies (MGUS, SMM, newly diagnosed MM) were analyzed by single-cell RNA sequencing (10x Genomics Chromium). Differential expression was assessed with Scanpy. Pathway/biological process enrichment was inferred by ORA and GSVA. For in</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vitro validation, hTERT-MSCs and primary MSCs were differentiated to OBs ±conditioned media (CM) from human myeloma cell lines (HMCLs); osteogenic markers and WISP2 expression were quantified by qPCR. Additionally, 3D hydrogel and bioprinted models of MM niche were developed by embedding MM cells (RegenHu 3D Discovery) and culturing constructs for up to 10 days.</w:t>
      </w:r>
    </w:p>
    <w:p w14:paraId="0A9E6DA6" w14:textId="3A69D7AB" w:rsidR="00C02E0A" w:rsidRPr="00CC3FFF" w:rsidRDefault="00C02E0A" w:rsidP="00C02E0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Across 42,823 BME cells, we identified 14 clusters that recapitulate stromal to osteoblast differentiation trajectories. Two pre-osteoblastic states emerged with opposite programs: (i) dysfunctional, immunosuppressive pre-OBs and (ii) pre-OBs WISP2</w:t>
      </w:r>
      <w:r w:rsidRPr="005C0B02">
        <w:rPr>
          <w:rFonts w:ascii="Times New Roman" w:hAnsi="Times New Roman" w:cs="Times New Roman"/>
          <w:bCs/>
          <w:iCs/>
          <w:sz w:val="20"/>
          <w:szCs w:val="20"/>
          <w:vertAlign w:val="superscript"/>
        </w:rPr>
        <w:t>+</w:t>
      </w:r>
      <w:r w:rsidRPr="00CC3FFF">
        <w:rPr>
          <w:rFonts w:ascii="Times New Roman" w:hAnsi="Times New Roman" w:cs="Times New Roman"/>
          <w:bCs/>
          <w:iCs/>
          <w:sz w:val="20"/>
          <w:szCs w:val="20"/>
        </w:rPr>
        <w:t xml:space="preserve"> with a pro-osteogenic signature. Across disease stages, we observed a significant, progressive depletion of pre-OBs WISP2</w:t>
      </w:r>
      <w:r w:rsidRPr="005C0B02">
        <w:rPr>
          <w:rFonts w:ascii="Times New Roman" w:hAnsi="Times New Roman" w:cs="Times New Roman"/>
          <w:bCs/>
          <w:iCs/>
          <w:sz w:val="20"/>
          <w:szCs w:val="20"/>
          <w:vertAlign w:val="superscript"/>
        </w:rPr>
        <w:t>+</w:t>
      </w:r>
      <w:r w:rsidRPr="00CC3FFF">
        <w:rPr>
          <w:rFonts w:ascii="Times New Roman" w:hAnsi="Times New Roman" w:cs="Times New Roman"/>
          <w:bCs/>
          <w:iCs/>
          <w:sz w:val="20"/>
          <w:szCs w:val="20"/>
        </w:rPr>
        <w:t xml:space="preserve"> cluster, inversely correlated with tumor burden, and a reduction of WISP2 expression in MM. In primary MSCs, WISP2 was significantly upregulated in SMM-derived but not in MM-derived OBs. Exposure to HMCL-CMs suppressed WISP2 in hTERT-derived and SMM-derived OBs, whereas MM-derived OBs displayed limited transcriptional responsiveness. Preliminary WISP2 overexpression experiments partially attenuates CM-driven inhibition, increasing functional OB marker expression. 3D hydrogel models preserved cell viability and morphology, showing low cytotoxicity and sustained proliferation over 10 days.</w:t>
      </w:r>
    </w:p>
    <w:p w14:paraId="2D237373" w14:textId="5B00B52A" w:rsidR="00C02E0A" w:rsidRPr="00CC3FFF" w:rsidRDefault="00C02E0A" w:rsidP="00C02E0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Our single cell analysis on bone biopsies deciphers the OB populations complexity highlighting their altered dynamics through the progression from precursors diseases to MM. By integrating with our 3D niche models, we can perform a physiologically relevant platform for mechanistic studies and preclinical testing, potentially informing therapeutic strategies and early intervention.</w:t>
      </w:r>
    </w:p>
    <w:p w14:paraId="7EB1EA9E" w14:textId="446925B4" w:rsidR="0075260E" w:rsidRPr="00CC3FFF" w:rsidRDefault="0075260E" w:rsidP="00EB7ABC">
      <w:pPr>
        <w:adjustRightInd w:val="0"/>
        <w:snapToGrid w:val="0"/>
        <w:spacing w:line="260" w:lineRule="atLeast"/>
        <w:rPr>
          <w:rFonts w:ascii="Times New Roman" w:hAnsi="Times New Roman" w:cs="Times New Roman"/>
          <w:bCs/>
          <w:iCs/>
          <w:sz w:val="20"/>
          <w:szCs w:val="20"/>
        </w:rPr>
      </w:pPr>
    </w:p>
    <w:p w14:paraId="15796AC2" w14:textId="77777777" w:rsidR="005063D1" w:rsidRPr="00CC3FFF" w:rsidRDefault="001604DA" w:rsidP="005063D1">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20. </w:t>
      </w:r>
      <w:r w:rsidR="005063D1" w:rsidRPr="00CC3FFF">
        <w:rPr>
          <w:rFonts w:ascii="Times New Roman" w:hAnsi="Times New Roman" w:cs="Times New Roman"/>
          <w:b/>
          <w:bCs/>
          <w:iCs/>
          <w:caps/>
          <w:sz w:val="20"/>
          <w:szCs w:val="20"/>
        </w:rPr>
        <w:t>Human umbilical vein endothelial cells-derived conditioned medium for the endothelial differentiation of induced pluripotent stem cells: a cost-effective human-based protocol</w:t>
      </w:r>
    </w:p>
    <w:p w14:paraId="187FE6FC" w14:textId="77777777" w:rsidR="0075260E" w:rsidRPr="00CC3FFF" w:rsidRDefault="0075260E" w:rsidP="0075260E">
      <w:pPr>
        <w:adjustRightInd w:val="0"/>
        <w:snapToGrid w:val="0"/>
        <w:spacing w:line="260" w:lineRule="atLeast"/>
        <w:rPr>
          <w:rFonts w:ascii="Times New Roman" w:hAnsi="Times New Roman" w:cs="Times New Roman"/>
          <w:bCs/>
          <w:iCs/>
          <w:sz w:val="20"/>
          <w:szCs w:val="20"/>
        </w:rPr>
      </w:pPr>
    </w:p>
    <w:p w14:paraId="27036C64" w14:textId="7EDB7CC9" w:rsidR="005063D1" w:rsidRPr="00CC3FFF" w:rsidRDefault="005063D1" w:rsidP="005063D1">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L. di Caporiacco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Merighi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C. Quadalti</w:t>
      </w:r>
      <w:r w:rsidRPr="00CC3FFF">
        <w:rPr>
          <w:rFonts w:ascii="Times New Roman" w:hAnsi="Times New Roman" w:cs="Times New Roman"/>
          <w:bCs/>
          <w:iCs/>
          <w:sz w:val="20"/>
          <w:szCs w:val="20"/>
          <w:vertAlign w:val="superscript"/>
          <w:lang w:val="it-IT"/>
        </w:rPr>
        <w:t>2,3</w:t>
      </w:r>
      <w:r w:rsidRPr="00CC3FFF">
        <w:rPr>
          <w:rFonts w:ascii="Times New Roman" w:hAnsi="Times New Roman" w:cs="Times New Roman"/>
          <w:bCs/>
          <w:iCs/>
          <w:sz w:val="20"/>
          <w:szCs w:val="20"/>
          <w:lang w:val="it-IT"/>
        </w:rPr>
        <w:t>, L. Calzà</w:t>
      </w:r>
      <w:r w:rsidRPr="00CC3FFF">
        <w:rPr>
          <w:rFonts w:ascii="Times New Roman" w:hAnsi="Times New Roman" w:cs="Times New Roman"/>
          <w:bCs/>
          <w:iCs/>
          <w:sz w:val="20"/>
          <w:szCs w:val="20"/>
          <w:vertAlign w:val="superscript"/>
          <w:lang w:val="it-IT"/>
        </w:rPr>
        <w:t>2,3</w:t>
      </w:r>
    </w:p>
    <w:p w14:paraId="3164352E" w14:textId="1A2E7ED4" w:rsidR="0075260E" w:rsidRPr="00CC3FFF" w:rsidRDefault="0075260E" w:rsidP="0075260E">
      <w:pPr>
        <w:adjustRightInd w:val="0"/>
        <w:snapToGrid w:val="0"/>
        <w:spacing w:line="260" w:lineRule="atLeast"/>
        <w:rPr>
          <w:rFonts w:ascii="Times New Roman" w:hAnsi="Times New Roman" w:cs="Times New Roman"/>
          <w:bCs/>
          <w:iCs/>
          <w:sz w:val="20"/>
          <w:szCs w:val="20"/>
          <w:lang w:val="it-IT"/>
        </w:rPr>
      </w:pPr>
    </w:p>
    <w:p w14:paraId="5A3FC459" w14:textId="0230FF46" w:rsidR="005063D1" w:rsidRPr="00CC3FFF" w:rsidRDefault="005063D1" w:rsidP="005063D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IRET ETS Foundation, Ozzano Emilia</w:t>
      </w:r>
      <w:r w:rsidR="005E1768" w:rsidRPr="00CC3FFF">
        <w:rPr>
          <w:rFonts w:ascii="Times New Roman" w:hAnsi="Times New Roman" w:cs="Times New Roman"/>
          <w:bCs/>
          <w:iCs/>
          <w:sz w:val="20"/>
          <w:szCs w:val="20"/>
        </w:rPr>
        <w:t>,</w:t>
      </w:r>
      <w:r w:rsidRPr="00CC3FFF">
        <w:rPr>
          <w:rFonts w:ascii="Times New Roman" w:hAnsi="Times New Roman" w:cs="Times New Roman"/>
          <w:bCs/>
          <w:iCs/>
          <w:sz w:val="20"/>
          <w:szCs w:val="20"/>
        </w:rPr>
        <w:t xml:space="preserve"> Italy</w:t>
      </w:r>
    </w:p>
    <w:p w14:paraId="5B5C655E" w14:textId="77777777" w:rsidR="005063D1" w:rsidRPr="00CC3FFF" w:rsidRDefault="005063D1" w:rsidP="005063D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Interdepartmental Centre for Industrial Research in Health Sciences and Technologies - CIRI Health Sciences and Technologies, University of Bologna, Bologna, Italy</w:t>
      </w:r>
    </w:p>
    <w:p w14:paraId="02A9BB97" w14:textId="3A81A523" w:rsidR="005063D1" w:rsidRPr="00CC3FFF" w:rsidRDefault="005063D1" w:rsidP="005063D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Dep</w:t>
      </w:r>
      <w:r w:rsidR="005E1768"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Pharmacy and Biotechnology, University of Bologna, Bologna, Italy</w:t>
      </w:r>
    </w:p>
    <w:p w14:paraId="61311895" w14:textId="77777777" w:rsidR="0075260E" w:rsidRPr="00CC3FFF" w:rsidRDefault="0075260E" w:rsidP="0075260E">
      <w:pPr>
        <w:adjustRightInd w:val="0"/>
        <w:snapToGrid w:val="0"/>
        <w:spacing w:line="260" w:lineRule="atLeast"/>
        <w:rPr>
          <w:rFonts w:ascii="Times New Roman" w:hAnsi="Times New Roman" w:cs="Times New Roman"/>
          <w:bCs/>
          <w:iCs/>
          <w:sz w:val="20"/>
          <w:szCs w:val="20"/>
        </w:rPr>
      </w:pPr>
    </w:p>
    <w:p w14:paraId="41355F92" w14:textId="7F2E7643" w:rsidR="005063D1" w:rsidRPr="00CC3FFF" w:rsidRDefault="005063D1" w:rsidP="005063D1">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The lack of adequate vascularization remains a critical bottleneck in the development of multicellular 3D structures and advanced in vitro models. Current strategies to induce endothelial differentiation rely on expensive protocols based on exogenous growth factors. To address this challenge and provide a sustainable human-based alternative, this study established an experimental protocol leveraging</w:t>
      </w:r>
      <w:r w:rsidR="00AB1A7E"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conditioned medium from a widely used cell line - Human Umbilical Vein Endothelial Cells (HUVECs) - to guide human Induced Pluripotent Stem Cells (hiPSCs) toward the endothelial lineage.</w:t>
      </w:r>
    </w:p>
    <w:p w14:paraId="176D49B1" w14:textId="7B629248" w:rsidR="005063D1" w:rsidRPr="00CC3FFF" w:rsidRDefault="005063D1" w:rsidP="005063D1">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 xml:space="preserve">The protocol involves exposing hiPSCs to HUVEC-derived conditioned medium over a five-day period. Samples were analyzed at three specific timepoints (after 24h, 72h and 120h) to monitor the transition in gene and protein expression profiles. Differentiation milestones were assessed via qPCR for pluripotency (Nanog, Oct4), lineage commitment (Gata2, Sox17, Pax6), hemangioblast induction (Brachyury, VEGFR2), and advanced endothelial differentiation (CD34, Endoglin, CD31). Parallel immunofluorescence assays evaluated the protein expression of Nanog, Oct4, </w:t>
      </w:r>
      <w:r w:rsidRPr="00CC3FFF">
        <w:rPr>
          <w:rFonts w:ascii="Times New Roman" w:hAnsi="Times New Roman" w:cs="Times New Roman"/>
          <w:bCs/>
          <w:iCs/>
          <w:sz w:val="20"/>
          <w:szCs w:val="20"/>
        </w:rPr>
        <w:lastRenderedPageBreak/>
        <w:t>and Brachyury.</w:t>
      </w:r>
    </w:p>
    <w:p w14:paraId="5770D47F" w14:textId="4B06E67D" w:rsidR="005063D1" w:rsidRPr="00CC3FFF" w:rsidRDefault="005063D1" w:rsidP="005063D1">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Significant transcriptomic shifts were observed from 72h of treatment, characterized by the downregulation of pluripotency markers and the onset of mesodermal commitment, evidenced by Gata2 upregulation. At day 5, Brachyury overexpression indicated progression toward mature mesoderm.</w:t>
      </w:r>
    </w:p>
    <w:p w14:paraId="1E94EBF9" w14:textId="77777777" w:rsidR="005063D1" w:rsidRPr="00CC3FFF" w:rsidRDefault="005063D1" w:rsidP="005063D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While CD31 and CD34 showed significant temporal upregulation by the final timepoint, their expression levels, when evaluated alongside Endoglin, suggested that full endothelial maturation was still ongoing.</w:t>
      </w:r>
    </w:p>
    <w:p w14:paraId="522D6F25" w14:textId="77777777" w:rsidR="005063D1" w:rsidRPr="00CC3FFF" w:rsidRDefault="005063D1" w:rsidP="005063D1">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Immunofluorescence confirmed the loss of Oct4 and Nanog starting from day 1. Brachyury expression was detected as early as day 1, followed by a decrease in more differentiated cells by day 5 as they progressed toward endothelial specification. Furthermore, cells exhibited clear morphological transitions toward the “cobblestone-like” appearance typical of endothelial cells.</w:t>
      </w:r>
    </w:p>
    <w:p w14:paraId="0FA819B5" w14:textId="0D6EF98D" w:rsidR="005063D1" w:rsidRPr="00CC3FFF" w:rsidRDefault="005063D1" w:rsidP="005063D1">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This protocol successfully initiates the differentiation of hiPSCs toward the endothelial lineage, offering a promising and accessible methodology for generating endothelial cells in vitro. By utilizing two standard commercial cell lines, we have developed a cost-effective strategy that facilitates the production of potentially autologous endothelial elements for regenerative medicine and tissue engineering.</w:t>
      </w:r>
    </w:p>
    <w:p w14:paraId="629CE124" w14:textId="482B9C7C" w:rsidR="0075260E" w:rsidRPr="00CC3FFF" w:rsidRDefault="0075260E" w:rsidP="0075260E">
      <w:pPr>
        <w:adjustRightInd w:val="0"/>
        <w:snapToGrid w:val="0"/>
        <w:spacing w:line="260" w:lineRule="atLeast"/>
        <w:rPr>
          <w:rFonts w:ascii="Times New Roman" w:hAnsi="Times New Roman" w:cs="Times New Roman"/>
          <w:bCs/>
          <w:iCs/>
          <w:sz w:val="20"/>
          <w:szCs w:val="20"/>
        </w:rPr>
      </w:pPr>
    </w:p>
    <w:p w14:paraId="141831C3" w14:textId="3992A1BF" w:rsidR="0075260E" w:rsidRPr="00CC3FFF" w:rsidRDefault="001604DA" w:rsidP="0075260E">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21. </w:t>
      </w:r>
      <w:r w:rsidR="00AB1A7E" w:rsidRPr="00CC3FFF">
        <w:rPr>
          <w:rFonts w:ascii="Times New Roman" w:hAnsi="Times New Roman" w:cs="Times New Roman"/>
          <w:b/>
          <w:bCs/>
          <w:iCs/>
          <w:caps/>
          <w:sz w:val="20"/>
          <w:szCs w:val="20"/>
        </w:rPr>
        <w:t>Advanced Therapy Medicinal Products: towards cost-effective manufacturing and sustainability</w:t>
      </w:r>
    </w:p>
    <w:p w14:paraId="7F39BA23" w14:textId="77777777" w:rsidR="0075260E" w:rsidRPr="00CC3FFF" w:rsidRDefault="0075260E" w:rsidP="0075260E">
      <w:pPr>
        <w:adjustRightInd w:val="0"/>
        <w:snapToGrid w:val="0"/>
        <w:spacing w:line="260" w:lineRule="atLeast"/>
        <w:rPr>
          <w:rFonts w:ascii="Times New Roman" w:hAnsi="Times New Roman" w:cs="Times New Roman"/>
          <w:bCs/>
          <w:iCs/>
          <w:sz w:val="20"/>
          <w:szCs w:val="20"/>
        </w:rPr>
      </w:pPr>
    </w:p>
    <w:p w14:paraId="6AFB127F" w14:textId="12C383BE" w:rsidR="00AB1A7E" w:rsidRPr="00CC3FFF" w:rsidRDefault="00AB1A7E" w:rsidP="00AB1A7E">
      <w:pPr>
        <w:adjustRightInd w:val="0"/>
        <w:snapToGrid w:val="0"/>
        <w:spacing w:line="260" w:lineRule="atLeast"/>
        <w:rPr>
          <w:rFonts w:ascii="Times New Roman" w:hAnsi="Times New Roman" w:cs="Times New Roman"/>
          <w:bCs/>
          <w:iCs/>
          <w:sz w:val="20"/>
          <w:szCs w:val="20"/>
          <w:vertAlign w:val="superscript"/>
        </w:rPr>
      </w:pPr>
      <w:r w:rsidRPr="00CC3FFF">
        <w:rPr>
          <w:rFonts w:ascii="Times New Roman" w:hAnsi="Times New Roman" w:cs="Times New Roman"/>
          <w:bCs/>
          <w:iCs/>
          <w:sz w:val="20"/>
          <w:szCs w:val="20"/>
          <w:lang w:val="it-IT"/>
        </w:rPr>
        <w:t>I. Ferrero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C. Zanini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A. Adamini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Sismondi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Castiglia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D. Rustichelli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Mandese</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xml:space="preserve">, C.  </w:t>
      </w:r>
      <w:r w:rsidRPr="00CC3FFF">
        <w:rPr>
          <w:rFonts w:ascii="Times New Roman" w:hAnsi="Times New Roman" w:cs="Times New Roman"/>
          <w:bCs/>
          <w:iCs/>
          <w:sz w:val="20"/>
          <w:szCs w:val="20"/>
        </w:rPr>
        <w:t>Sinicropi</w:t>
      </w: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P. Bosi</w:t>
      </w: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 F. Fagioli</w:t>
      </w:r>
      <w:r w:rsidRPr="00CC3FFF">
        <w:rPr>
          <w:rFonts w:ascii="Times New Roman" w:hAnsi="Times New Roman" w:cs="Times New Roman"/>
          <w:bCs/>
          <w:iCs/>
          <w:sz w:val="20"/>
          <w:szCs w:val="20"/>
          <w:vertAlign w:val="superscript"/>
        </w:rPr>
        <w:t>1,3</w:t>
      </w:r>
    </w:p>
    <w:p w14:paraId="627E6108" w14:textId="77777777" w:rsidR="00AB1A7E" w:rsidRPr="00CC3FFF" w:rsidRDefault="00AB1A7E" w:rsidP="00AB1A7E">
      <w:pPr>
        <w:adjustRightInd w:val="0"/>
        <w:snapToGrid w:val="0"/>
        <w:spacing w:line="260" w:lineRule="atLeast"/>
        <w:rPr>
          <w:rFonts w:ascii="Times New Roman" w:hAnsi="Times New Roman" w:cs="Times New Roman"/>
          <w:bCs/>
          <w:iCs/>
          <w:sz w:val="20"/>
          <w:szCs w:val="20"/>
        </w:rPr>
      </w:pPr>
    </w:p>
    <w:p w14:paraId="7E55C1B9" w14:textId="0885D396" w:rsidR="00AB1A7E" w:rsidRPr="00CC3FFF" w:rsidRDefault="00AB1A7E" w:rsidP="00AB1A7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xml:space="preserve">Stem Cell Transplantation and Cellular Therapy Laboratory, City of Health and Science of Turin, Regina Margherita Children’s Hospital, </w:t>
      </w:r>
      <w:r w:rsidR="005E1768" w:rsidRPr="00CC3FFF">
        <w:rPr>
          <w:rFonts w:ascii="Times New Roman" w:hAnsi="Times New Roman" w:cs="Times New Roman"/>
          <w:bCs/>
          <w:iCs/>
          <w:sz w:val="20"/>
          <w:szCs w:val="20"/>
        </w:rPr>
        <w:t xml:space="preserve">Turin, </w:t>
      </w:r>
      <w:r w:rsidRPr="00CC3FFF">
        <w:rPr>
          <w:rFonts w:ascii="Times New Roman" w:hAnsi="Times New Roman" w:cs="Times New Roman"/>
          <w:bCs/>
          <w:iCs/>
          <w:sz w:val="20"/>
          <w:szCs w:val="20"/>
        </w:rPr>
        <w:t>Italy</w:t>
      </w:r>
    </w:p>
    <w:p w14:paraId="3AF5E40C" w14:textId="111E175A" w:rsidR="00AB1A7E" w:rsidRPr="00CC3FFF" w:rsidRDefault="00AB1A7E" w:rsidP="00AB1A7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 xml:space="preserve">Advances Therapies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IWT Pharma c/o Molecular Biothecnology Centre, University of Turin, Turin, Italy</w:t>
      </w:r>
    </w:p>
    <w:p w14:paraId="063A745C" w14:textId="25D679BB" w:rsidR="00AB1A7E" w:rsidRPr="00CC3FFF" w:rsidRDefault="00AB1A7E" w:rsidP="00AB1A7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Science of Public Health and Pediatrics, University of Turin, Turin, Italy</w:t>
      </w:r>
    </w:p>
    <w:p w14:paraId="68F0484B" w14:textId="77777777" w:rsidR="0075260E" w:rsidRPr="00CC3FFF" w:rsidRDefault="0075260E" w:rsidP="0075260E">
      <w:pPr>
        <w:adjustRightInd w:val="0"/>
        <w:snapToGrid w:val="0"/>
        <w:spacing w:line="260" w:lineRule="atLeast"/>
        <w:rPr>
          <w:rFonts w:ascii="Times New Roman" w:hAnsi="Times New Roman" w:cs="Times New Roman"/>
          <w:bCs/>
          <w:iCs/>
          <w:sz w:val="20"/>
          <w:szCs w:val="20"/>
        </w:rPr>
      </w:pPr>
    </w:p>
    <w:p w14:paraId="66020ACD" w14:textId="37B5E1EF" w:rsidR="00AB1A7E" w:rsidRPr="00CC3FFF" w:rsidRDefault="00AB1A7E" w:rsidP="00AB1A7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Advanced Therapy Medicinal Products (ATMPs) represent some of the most promising approaches for treating a wide range of diseases by modifying genetic material or utilizing cells to restore lost function. However, the high costs and complex regulations associated with these therapies pose significant challenges due to their scientific sophistication, rapid technological advancements, and varying regulatory frameworks across different regions.</w:t>
      </w:r>
      <w:r w:rsidR="00BE57E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Addressing these issues requires harmonized international regulations, closer collaboration between regulators and developers, and the adoption of innovative economic models to ensure timely and sustainable access for patients. Establishing and maintaining Good Manufacturing Practice (GMP) compliant facilities for ATMPs is particularly costly, both economically and technically. These high costs can limit the number of centres capable of developing and manufacturing such therapies.</w:t>
      </w:r>
    </w:p>
    <w:p w14:paraId="0315B5E6" w14:textId="027273C2" w:rsidR="00AB1A7E" w:rsidRPr="00CC3FFF" w:rsidRDefault="00AB1A7E" w:rsidP="00AB1A7E">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In this study, we compared “open” and “closed” manufacturing systems to assess their efficiency in terms of cost effectiveness and sustainability.</w:t>
      </w:r>
    </w:p>
    <w:p w14:paraId="72EFED60" w14:textId="77777777" w:rsidR="00AB1A7E" w:rsidRPr="00CC3FFF" w:rsidRDefault="00AB1A7E" w:rsidP="00AB1A7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The comparison was performed by analyzing key parameters, including direct and indirect production costs, consumption of materials and reagents, contamination risk, requirements for classified environments, staff workload, and waste generation.</w:t>
      </w:r>
    </w:p>
    <w:p w14:paraId="38625044" w14:textId="4B4AC8F2" w:rsidR="00AB1A7E" w:rsidRPr="00CC3FFF" w:rsidRDefault="00AB1A7E" w:rsidP="00AB1A7E">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Open systems, while often more flexible and less expensive at start-up, are associated with higher operational risks, greater resource consumption, and increased waste production. Moreover, environmental monitoring in open systems requires substantial resources, including personnel (cleaning staff, monitoring operators, quality control staff), sanitizing agents, and microbiological testing. In contrast, closed systems require a higher initial investment but offer substantial long-term reductions in operational costs, improved quality control, and lower environmental impact.</w:t>
      </w:r>
    </w:p>
    <w:p w14:paraId="6734A410" w14:textId="043461C5" w:rsidR="00AB1A7E" w:rsidRPr="00CC3FFF" w:rsidRDefault="00AB1A7E" w:rsidP="00AB1A7E">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Innovative technologies and new manufacturing models should be explored with the aim of improving clinical outcomes, taking in account costs and sustainability for the health system.</w:t>
      </w:r>
    </w:p>
    <w:p w14:paraId="73E137F6" w14:textId="16391A8A" w:rsidR="0075260E" w:rsidRPr="00CC3FFF" w:rsidRDefault="0075260E" w:rsidP="0075260E">
      <w:pPr>
        <w:adjustRightInd w:val="0"/>
        <w:snapToGrid w:val="0"/>
        <w:spacing w:line="260" w:lineRule="atLeast"/>
        <w:rPr>
          <w:rFonts w:ascii="Times New Roman" w:hAnsi="Times New Roman" w:cs="Times New Roman"/>
          <w:bCs/>
          <w:iCs/>
          <w:sz w:val="20"/>
          <w:szCs w:val="20"/>
        </w:rPr>
      </w:pPr>
    </w:p>
    <w:p w14:paraId="32E3DF20" w14:textId="77777777" w:rsidR="00586563" w:rsidRPr="00CC3FFF" w:rsidRDefault="001604DA" w:rsidP="0075260E">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lastRenderedPageBreak/>
        <w:t xml:space="preserve">22. </w:t>
      </w:r>
      <w:r w:rsidR="00586563" w:rsidRPr="00CC3FFF">
        <w:rPr>
          <w:rFonts w:ascii="Times New Roman" w:hAnsi="Times New Roman" w:cs="Times New Roman"/>
          <w:b/>
          <w:bCs/>
          <w:iCs/>
          <w:caps/>
          <w:sz w:val="20"/>
          <w:szCs w:val="20"/>
        </w:rPr>
        <w:t>Ex vivo study of neural stem cells from the subventricular zone in neonatal encephalopathy</w:t>
      </w:r>
    </w:p>
    <w:p w14:paraId="57CD58A5" w14:textId="77777777" w:rsidR="00586563" w:rsidRPr="00CC3FFF" w:rsidRDefault="00586563" w:rsidP="0075260E">
      <w:pPr>
        <w:adjustRightInd w:val="0"/>
        <w:snapToGrid w:val="0"/>
        <w:spacing w:line="260" w:lineRule="atLeast"/>
        <w:rPr>
          <w:rFonts w:ascii="Times New Roman" w:hAnsi="Times New Roman" w:cs="Times New Roman"/>
          <w:b/>
          <w:bCs/>
          <w:iCs/>
          <w:sz w:val="20"/>
          <w:szCs w:val="20"/>
        </w:rPr>
      </w:pPr>
    </w:p>
    <w:p w14:paraId="34549931" w14:textId="675DAC03" w:rsidR="00586563" w:rsidRPr="00CC3FFF" w:rsidRDefault="00586563" w:rsidP="00586563">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M. Galeotti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Capone</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L. Lorenzini</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V. A. Baldassarro</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L.Giardino</w:t>
      </w:r>
      <w:r w:rsidRPr="00CC3FFF">
        <w:rPr>
          <w:rFonts w:ascii="Times New Roman" w:hAnsi="Times New Roman" w:cs="Times New Roman"/>
          <w:bCs/>
          <w:iCs/>
          <w:sz w:val="20"/>
          <w:szCs w:val="20"/>
          <w:vertAlign w:val="superscript"/>
          <w:lang w:val="it-IT"/>
        </w:rPr>
        <w:t>1,2,3</w:t>
      </w:r>
      <w:r w:rsidRPr="00CC3FFF">
        <w:rPr>
          <w:rFonts w:ascii="Times New Roman" w:hAnsi="Times New Roman" w:cs="Times New Roman"/>
          <w:bCs/>
          <w:iCs/>
          <w:sz w:val="20"/>
          <w:szCs w:val="20"/>
          <w:lang w:val="it-IT"/>
        </w:rPr>
        <w:t>, L. Calzà</w:t>
      </w:r>
      <w:r w:rsidRPr="00CC3FFF">
        <w:rPr>
          <w:rFonts w:ascii="Times New Roman" w:hAnsi="Times New Roman" w:cs="Times New Roman"/>
          <w:bCs/>
          <w:iCs/>
          <w:sz w:val="20"/>
          <w:szCs w:val="20"/>
          <w:vertAlign w:val="superscript"/>
          <w:lang w:val="it-IT"/>
        </w:rPr>
        <w:t>3,4</w:t>
      </w:r>
    </w:p>
    <w:p w14:paraId="16E632FA" w14:textId="77777777" w:rsidR="00586563" w:rsidRPr="00CC3FFF" w:rsidRDefault="00586563" w:rsidP="00586563">
      <w:pPr>
        <w:adjustRightInd w:val="0"/>
        <w:snapToGrid w:val="0"/>
        <w:spacing w:line="260" w:lineRule="atLeast"/>
        <w:rPr>
          <w:rFonts w:ascii="Times New Roman" w:hAnsi="Times New Roman" w:cs="Times New Roman"/>
          <w:bCs/>
          <w:iCs/>
          <w:sz w:val="20"/>
          <w:szCs w:val="20"/>
          <w:lang w:val="it-IT"/>
        </w:rPr>
      </w:pPr>
    </w:p>
    <w:p w14:paraId="3B4E415F" w14:textId="590EF8B1" w:rsidR="00586563" w:rsidRPr="00CC3FFF" w:rsidRDefault="00586563" w:rsidP="0058656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Veterinary Medical Science, University of Bologna, Bologna, Italy</w:t>
      </w:r>
    </w:p>
    <w:p w14:paraId="442EB766" w14:textId="4F6C8B83" w:rsidR="00586563" w:rsidRPr="00CC3FFF" w:rsidRDefault="00586563" w:rsidP="0058656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Interdepartmental Centre for Industrial Research in Health Sciences and Technologies – CIRI Health</w:t>
      </w:r>
      <w:r w:rsidR="005E1768" w:rsidRPr="00CC3FFF">
        <w:rPr>
          <w:rFonts w:ascii="Times New Roman" w:hAnsi="Times New Roman" w:cs="Times New Roman"/>
          <w:bCs/>
          <w:iCs/>
          <w:sz w:val="20"/>
          <w:szCs w:val="20"/>
        </w:rPr>
        <w:t>, Bologna, Italy</w:t>
      </w:r>
    </w:p>
    <w:p w14:paraId="4F3E8E62" w14:textId="77777777" w:rsidR="00586563" w:rsidRPr="00CC3FFF" w:rsidRDefault="00586563" w:rsidP="0058656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IRET ETS Foundation, Bologna, Italy</w:t>
      </w:r>
    </w:p>
    <w:p w14:paraId="2DE926A3" w14:textId="56C89D16" w:rsidR="00586563" w:rsidRPr="00CC3FFF" w:rsidRDefault="00586563" w:rsidP="0058656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Pharmacy and Biotechnology, University of Bologna, Bologna, Italy</w:t>
      </w:r>
    </w:p>
    <w:p w14:paraId="5C986E62" w14:textId="3DDFAB65" w:rsidR="0075260E" w:rsidRPr="00CC3FFF" w:rsidRDefault="0075260E" w:rsidP="0075260E">
      <w:pPr>
        <w:adjustRightInd w:val="0"/>
        <w:snapToGrid w:val="0"/>
        <w:spacing w:line="260" w:lineRule="atLeast"/>
        <w:rPr>
          <w:rFonts w:ascii="Times New Roman" w:hAnsi="Times New Roman" w:cs="Times New Roman"/>
          <w:bCs/>
          <w:iCs/>
          <w:sz w:val="20"/>
          <w:szCs w:val="20"/>
        </w:rPr>
      </w:pPr>
    </w:p>
    <w:p w14:paraId="42975AA5" w14:textId="72BAA991" w:rsidR="00586563" w:rsidRPr="00CC3FFF" w:rsidRDefault="00586563" w:rsidP="00586563">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Neonatal hypoxic-ischemic encephalopathy (HIE) is a multifactorial pathology characterized by brain damage resulting from a reduced supply of oxygenated blood to the brain during the perinatal period. HIE is one of the principal causes of death and neurological disability in children. In addition to standard supportive therapies, therapeutic hypothermia (TH) is currently the main clinical measure to improve the prognosis of children with HIE, but it is only partially effective. The current challenge is to improve outcomes by investigating neuroprotective agents that support hypothermia. Nerve Growth Factor (NGF), the first identified neurotrophin, has demonstrated neuroprotective potential in preclinical and clinical studies on neonatal HIE. This study aims to evaluate NGF as a complementary neuroprotective strategy to therapeutic hypothermia in neonatal HIE.</w:t>
      </w:r>
    </w:p>
    <w:p w14:paraId="37B15DEA" w14:textId="175B8E84" w:rsidR="00586563" w:rsidRPr="00CC3FFF" w:rsidRDefault="00586563" w:rsidP="00586563">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The present study developed an ex vivo model of neonatal HIE by evaluating the effect of hypoxic-ischemic conditions (hypoxia/ischemia; H/I) on neural stem cells (NSCs) isolated from P7 rats subjected to unilateral carotid ligation and incubation in a hypoxic chamber. After the insult, the animals were treated with TH and mouse NGF, either alone or in combination. Subsequently, 15 days after the insult, NSCs were isolated and the expression of differentiation and maturation markers of the three neural lineages (astrocytes, neurons, and oligodendrocytes) was evaluated.</w:t>
      </w:r>
    </w:p>
    <w:p w14:paraId="28059474" w14:textId="54645250" w:rsidR="00586563" w:rsidRPr="00CC3FFF" w:rsidRDefault="00586563" w:rsidP="00586563">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The ex vivo model developed, found that H/I insult causes an increase in the proliferation of neural precursors, resulting in a boost to neuronal and astrocytic differentiation 21 days after the induction of spontaneous differentiation, coupled with reduced neuron maturation. In contrast, the oligodendrocyte lineage is severely compromised, with a reduction in the percentage of mature oligodendrocytes.</w:t>
      </w:r>
    </w:p>
    <w:p w14:paraId="791CEB99" w14:textId="77777777" w:rsidR="00586563" w:rsidRPr="00CC3FFF" w:rsidRDefault="00586563" w:rsidP="0058656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Furthermore, it has been shown that treatments, especially in combination, are effective in restoring differentiation deficits induced by H/I damage. Instead, single treatments are more effective in increasing the degree of maturation of differentiated neurons.</w:t>
      </w:r>
    </w:p>
    <w:p w14:paraId="017080FD" w14:textId="585D32C0" w:rsidR="00AB3025" w:rsidRPr="00CC3FFF" w:rsidRDefault="00586563" w:rsidP="0058656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Conclusion</w:t>
      </w:r>
      <w:r w:rsidR="00A30A14" w:rsidRPr="00CC3FFF">
        <w:rPr>
          <w:rFonts w:ascii="Times New Roman" w:hAnsi="Times New Roman" w:cs="Times New Roman"/>
          <w:bCs/>
          <w:iCs/>
          <w:caps/>
          <w:sz w:val="20"/>
          <w:szCs w:val="20"/>
        </w:rPr>
        <w:t>s</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The results obtained suggest that NGF, used in combination with TH, may be a promising molecule for improving the prognosis of neonatal HIE by acting on the three neural lineages affected</w:t>
      </w:r>
    </w:p>
    <w:p w14:paraId="687705D6" w14:textId="77777777" w:rsidR="00586563" w:rsidRPr="00CC3FFF" w:rsidRDefault="00586563" w:rsidP="00586563">
      <w:pPr>
        <w:adjustRightInd w:val="0"/>
        <w:snapToGrid w:val="0"/>
        <w:spacing w:line="260" w:lineRule="atLeast"/>
        <w:rPr>
          <w:rFonts w:ascii="Times New Roman" w:hAnsi="Times New Roman" w:cs="Times New Roman"/>
          <w:bCs/>
          <w:iCs/>
          <w:caps/>
          <w:sz w:val="20"/>
          <w:szCs w:val="20"/>
        </w:rPr>
      </w:pPr>
    </w:p>
    <w:p w14:paraId="76867149" w14:textId="6D2B6278" w:rsidR="00AB3025" w:rsidRPr="00CC3FFF" w:rsidRDefault="001604DA" w:rsidP="00AB3025">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23. </w:t>
      </w:r>
      <w:r w:rsidR="004D1535" w:rsidRPr="00CC3FFF">
        <w:rPr>
          <w:rFonts w:ascii="Times New Roman" w:hAnsi="Times New Roman" w:cs="Times New Roman"/>
          <w:b/>
          <w:bCs/>
          <w:iCs/>
          <w:caps/>
          <w:sz w:val="20"/>
          <w:szCs w:val="20"/>
        </w:rPr>
        <w:t>Comparative bioinformatic analysis of ASC and BMSC secretomes reveals shared functional programs and condition-specific enrichment patterns</w:t>
      </w:r>
    </w:p>
    <w:p w14:paraId="2DED22B1" w14:textId="77777777" w:rsidR="004D1535" w:rsidRPr="00CC3FFF" w:rsidRDefault="004D1535" w:rsidP="00AB3025">
      <w:pPr>
        <w:adjustRightInd w:val="0"/>
        <w:snapToGrid w:val="0"/>
        <w:spacing w:line="260" w:lineRule="atLeast"/>
        <w:rPr>
          <w:rFonts w:ascii="Times New Roman" w:hAnsi="Times New Roman" w:cs="Times New Roman"/>
          <w:bCs/>
          <w:iCs/>
          <w:sz w:val="20"/>
          <w:szCs w:val="20"/>
        </w:rPr>
      </w:pPr>
    </w:p>
    <w:p w14:paraId="1A0C8B7D" w14:textId="4B7ECCCA" w:rsidR="004D1535" w:rsidRPr="00CC3FFF" w:rsidRDefault="004D1535" w:rsidP="004D1535">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G. Grieco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Lo Pinto</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M. M. Taiana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P. de Luca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R. Lauro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Nebuloni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D. Scilabra</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L. de Girolamo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 Ragni</w:t>
      </w:r>
      <w:r w:rsidRPr="00CC3FFF">
        <w:rPr>
          <w:rFonts w:ascii="Times New Roman" w:hAnsi="Times New Roman" w:cs="Times New Roman"/>
          <w:bCs/>
          <w:iCs/>
          <w:sz w:val="20"/>
          <w:szCs w:val="20"/>
          <w:vertAlign w:val="superscript"/>
          <w:lang w:val="it-IT"/>
        </w:rPr>
        <w:t>1</w:t>
      </w:r>
    </w:p>
    <w:p w14:paraId="69839D6D" w14:textId="77777777" w:rsidR="00AB3025" w:rsidRPr="00CC3FFF" w:rsidRDefault="00AB3025" w:rsidP="00AB3025">
      <w:pPr>
        <w:adjustRightInd w:val="0"/>
        <w:snapToGrid w:val="0"/>
        <w:spacing w:line="260" w:lineRule="atLeast"/>
        <w:rPr>
          <w:rFonts w:ascii="Times New Roman" w:hAnsi="Times New Roman" w:cs="Times New Roman"/>
          <w:bCs/>
          <w:iCs/>
          <w:sz w:val="20"/>
          <w:szCs w:val="20"/>
          <w:lang w:val="it-IT"/>
        </w:rPr>
      </w:pPr>
    </w:p>
    <w:p w14:paraId="186D8110" w14:textId="2AACB32A" w:rsidR="004D1535" w:rsidRPr="00CC3FFF" w:rsidRDefault="004D1535" w:rsidP="004D1535">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IRCCS Ospedale Galeazzi – Sant’Ambrogio, Laboratorio di Biotecnologie Applicate all’Ortopedia, Milan, Italy</w:t>
      </w:r>
    </w:p>
    <w:p w14:paraId="3BFD0E6A" w14:textId="77777777" w:rsidR="004D1535" w:rsidRPr="00CC3FFF" w:rsidRDefault="004D1535" w:rsidP="004D153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Ri.MED Foundation, Proteomics Group, Palermo, Italy</w:t>
      </w:r>
    </w:p>
    <w:p w14:paraId="694041CA" w14:textId="77777777" w:rsidR="00AB3025" w:rsidRPr="00CC3FFF" w:rsidRDefault="00AB3025" w:rsidP="00AB3025">
      <w:pPr>
        <w:adjustRightInd w:val="0"/>
        <w:snapToGrid w:val="0"/>
        <w:spacing w:line="260" w:lineRule="atLeast"/>
        <w:rPr>
          <w:rFonts w:ascii="Times New Roman" w:hAnsi="Times New Roman" w:cs="Times New Roman"/>
          <w:bCs/>
          <w:iCs/>
          <w:sz w:val="20"/>
          <w:szCs w:val="20"/>
        </w:rPr>
      </w:pPr>
    </w:p>
    <w:p w14:paraId="78A3A421" w14:textId="5D0DFE6C" w:rsidR="004D1535" w:rsidRPr="00CC3FFF" w:rsidRDefault="004D1535" w:rsidP="004D1535">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A significant proportion of the therapeutic benefits of mesenchymal stromal cells (MSCs) are derived from their secretome. However, a comprehensive description of the shared and condition-specific functional characteristics of MSC secretomes remains to be achieved. A bioinformatic analysis of a large-scale proteomic dataset has been conducted to identify a general and distinct secretome signature between adipose-derived MSCs (ASCs) and bone marrow-derived MSCs (BMSCs).</w:t>
      </w:r>
    </w:p>
    <w:p w14:paraId="7C51B75C" w14:textId="2882283F" w:rsidR="004D1535" w:rsidRPr="00CC3FFF" w:rsidRDefault="004D1535" w:rsidP="004D1535">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lastRenderedPageBreak/>
        <w:t xml:space="preserve">Materials and Methods: </w:t>
      </w:r>
      <w:r w:rsidRPr="00CC3FFF">
        <w:rPr>
          <w:rFonts w:ascii="Times New Roman" w:hAnsi="Times New Roman" w:cs="Times New Roman"/>
          <w:bCs/>
          <w:iCs/>
          <w:sz w:val="20"/>
          <w:szCs w:val="20"/>
        </w:rPr>
        <w:t>The proteomic data analysed was derived from 3,485 quantified proteins from five ASCs and five BMSCs donors. Exploratory distribution analysis was used to evaluate data integrity and possible donor effects. The globally abundant core was then subjected to over-representation analysis (ORA) to identify common biological processes. A linear model integrated within the limma framework was used to assess the variations in protein abundance between ASCs and BMSCs and the limma moderated t-statistic was employed for the ranking. Gene Set Enrichment Analysis (GSEA) was used to identify pathways that were differentially enriched between conditions across GO, KEGG, and Reactome databases.</w:t>
      </w:r>
    </w:p>
    <w:p w14:paraId="64A67A91" w14:textId="33EAA4E1" w:rsidR="004D1535" w:rsidRPr="00CC3FFF" w:rsidRDefault="004D1535" w:rsidP="004D1535">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Downstream comparison studies were supported by exploratory analysis which revealed no significant donor-driven effects. ORA of the core secretome shared by MSCs showed enrichment of several biological pathways linked to extracellular organisation, signalling, metabolism, and regulatory functions. However, given the wide range of functions, it was challenging to identify a single global signature.</w:t>
      </w:r>
    </w:p>
    <w:p w14:paraId="61B8EF21" w14:textId="77777777" w:rsidR="004D1535" w:rsidRPr="00CC3FFF" w:rsidRDefault="004D1535" w:rsidP="004D153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Condition-specific proteomic patterns were confirmed by differential analyses that clearly distinguished ASCs and BMSCs using PCA and heatmap visualization. While BMSC secretomes demonstrated enrichment for extracellular matrix organisation, cell adhesion, and activation-related pathways,</w:t>
      </w:r>
    </w:p>
    <w:p w14:paraId="0EBAB8C1" w14:textId="77777777" w:rsidR="004D1535" w:rsidRPr="00CC3FFF" w:rsidRDefault="004D1535" w:rsidP="004D153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ASC secretomes were enriched for pathways linked to transcriptional and RNA regulatory activities, according to GSEA.</w:t>
      </w:r>
    </w:p>
    <w:p w14:paraId="39C85BE6" w14:textId="49C83C6F" w:rsidR="004D1535" w:rsidRPr="00CC3FFF" w:rsidRDefault="004D1535" w:rsidP="004D1535">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This comprehensive bioinformatic analysis reveals that while MSC secretomes exhibit a complex and multifunctional global proteomic landscape, the most biologically informative differences emerge at the condition-specific level, suggesting differential mechanisms of action. While experimental validation</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is required to fully support these findings, they provide a valuable framework for the rational and personalised use of MSC-derived secretomes in regenerative medicine.</w:t>
      </w:r>
    </w:p>
    <w:p w14:paraId="7D7293D2" w14:textId="27D68214" w:rsidR="00AB3025" w:rsidRPr="00CC3FFF" w:rsidRDefault="00AB3025" w:rsidP="00AB3025">
      <w:pPr>
        <w:adjustRightInd w:val="0"/>
        <w:snapToGrid w:val="0"/>
        <w:spacing w:line="260" w:lineRule="atLeast"/>
        <w:rPr>
          <w:rFonts w:ascii="Times New Roman" w:hAnsi="Times New Roman" w:cs="Times New Roman"/>
          <w:bCs/>
          <w:iCs/>
          <w:sz w:val="20"/>
          <w:szCs w:val="20"/>
        </w:rPr>
      </w:pPr>
    </w:p>
    <w:p w14:paraId="501AA454" w14:textId="77777777" w:rsidR="00D169D5" w:rsidRPr="00CC3FFF" w:rsidRDefault="001604DA" w:rsidP="00AB3025">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24. </w:t>
      </w:r>
      <w:r w:rsidR="00D169D5" w:rsidRPr="00CC3FFF">
        <w:rPr>
          <w:rFonts w:ascii="Times New Roman" w:hAnsi="Times New Roman" w:cs="Times New Roman"/>
          <w:b/>
          <w:bCs/>
          <w:iCs/>
          <w:caps/>
          <w:sz w:val="20"/>
          <w:szCs w:val="20"/>
        </w:rPr>
        <w:t>Secretome and extracellular vesicle signatures in bone marrow-derived mesenchymal stromal cells after expansion in standard and next-generation media</w:t>
      </w:r>
    </w:p>
    <w:p w14:paraId="50CDAE0B" w14:textId="77777777" w:rsidR="00D169D5" w:rsidRPr="00CC3FFF" w:rsidRDefault="00D169D5" w:rsidP="00AB3025">
      <w:pPr>
        <w:adjustRightInd w:val="0"/>
        <w:snapToGrid w:val="0"/>
        <w:spacing w:line="260" w:lineRule="atLeast"/>
        <w:rPr>
          <w:rFonts w:ascii="Times New Roman" w:hAnsi="Times New Roman" w:cs="Times New Roman"/>
          <w:b/>
          <w:bCs/>
          <w:iCs/>
          <w:caps/>
          <w:sz w:val="20"/>
          <w:szCs w:val="20"/>
        </w:rPr>
      </w:pPr>
    </w:p>
    <w:p w14:paraId="42F5F51A" w14:textId="7157B582" w:rsidR="00D169D5" w:rsidRPr="00CC3FFF" w:rsidRDefault="00D169D5" w:rsidP="00AB3025">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G. Grieco</w:t>
      </w:r>
      <w:r w:rsidR="00A30A14"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Piccolo</w:t>
      </w:r>
      <w:r w:rsidR="00A30A14"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 Ragni</w:t>
      </w:r>
      <w:r w:rsidR="00A30A14" w:rsidRPr="00CC3FFF">
        <w:rPr>
          <w:rFonts w:ascii="Times New Roman" w:hAnsi="Times New Roman" w:cs="Times New Roman"/>
          <w:bCs/>
          <w:iCs/>
          <w:sz w:val="20"/>
          <w:szCs w:val="20"/>
          <w:vertAlign w:val="superscript"/>
          <w:lang w:val="it-IT"/>
        </w:rPr>
        <w:t>1</w:t>
      </w:r>
      <w:r w:rsidR="00A30A14" w:rsidRPr="00CC3FFF">
        <w:rPr>
          <w:rFonts w:ascii="Times New Roman" w:hAnsi="Times New Roman" w:cs="Times New Roman"/>
          <w:bCs/>
          <w:iCs/>
          <w:sz w:val="20"/>
          <w:szCs w:val="20"/>
          <w:lang w:val="it-IT"/>
        </w:rPr>
        <w:t>, L. de Girolamo</w:t>
      </w:r>
      <w:r w:rsidR="00A30A14" w:rsidRPr="00CC3FFF">
        <w:rPr>
          <w:rFonts w:ascii="Times New Roman" w:hAnsi="Times New Roman" w:cs="Times New Roman"/>
          <w:bCs/>
          <w:iCs/>
          <w:sz w:val="20"/>
          <w:szCs w:val="20"/>
          <w:vertAlign w:val="superscript"/>
          <w:lang w:val="it-IT"/>
        </w:rPr>
        <w:t>1</w:t>
      </w:r>
    </w:p>
    <w:p w14:paraId="328D1641" w14:textId="77777777" w:rsidR="00D169D5" w:rsidRPr="00CC3FFF" w:rsidRDefault="00D169D5" w:rsidP="00AB3025">
      <w:pPr>
        <w:adjustRightInd w:val="0"/>
        <w:snapToGrid w:val="0"/>
        <w:spacing w:line="260" w:lineRule="atLeast"/>
        <w:rPr>
          <w:rFonts w:ascii="Times New Roman" w:hAnsi="Times New Roman" w:cs="Times New Roman"/>
          <w:bCs/>
          <w:iCs/>
          <w:sz w:val="20"/>
          <w:szCs w:val="20"/>
          <w:lang w:val="it-IT"/>
        </w:rPr>
      </w:pPr>
    </w:p>
    <w:p w14:paraId="6EDBA09E" w14:textId="2CE9B4B9" w:rsidR="00D169D5" w:rsidRPr="00CC3FFF" w:rsidRDefault="00CC19D1" w:rsidP="00D169D5">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00D169D5" w:rsidRPr="00CC3FFF">
        <w:rPr>
          <w:rFonts w:ascii="Times New Roman" w:hAnsi="Times New Roman" w:cs="Times New Roman"/>
          <w:bCs/>
          <w:iCs/>
          <w:sz w:val="20"/>
          <w:szCs w:val="20"/>
          <w:lang w:val="it-IT"/>
        </w:rPr>
        <w:t>Laboratorio di Biotecnologie Applicate all’Ortopedia, IRCCS Ospedale Galeazzi – Sant’Ambrogio, Milano, Italy</w:t>
      </w:r>
    </w:p>
    <w:p w14:paraId="718D12F9" w14:textId="77777777" w:rsidR="00AB3025" w:rsidRPr="00CC3FFF" w:rsidRDefault="00AB3025" w:rsidP="00AB3025">
      <w:pPr>
        <w:adjustRightInd w:val="0"/>
        <w:snapToGrid w:val="0"/>
        <w:spacing w:line="260" w:lineRule="atLeast"/>
        <w:rPr>
          <w:rFonts w:ascii="Times New Roman" w:hAnsi="Times New Roman" w:cs="Times New Roman"/>
          <w:bCs/>
          <w:iCs/>
          <w:sz w:val="20"/>
          <w:szCs w:val="20"/>
          <w:lang w:val="it-IT"/>
        </w:rPr>
      </w:pPr>
    </w:p>
    <w:p w14:paraId="6E69D467" w14:textId="2787A6A7" w:rsidR="00D169D5" w:rsidRPr="00CC3FFF" w:rsidRDefault="00D169D5" w:rsidP="00D169D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Mesenchymal stem cells (MSCs) are a promising therapeutic strategy for osteoarthritis (OA), largely due to their regenerative potential, which is attributed in part to their secretome. The secretome includes soluble factors and extracellular vesicles (EVs). Given that MSCs are sensitive to various culture conditions, this study aims to investigate the effects of different media supplemented with either fetal</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bovine serum (FBS) (F), platelet lysate (P), or serum/xeno-free (S/X) on the composition and therapeutic potential of the secretome from bone marrow-derived MSCs (BMSCs).</w:t>
      </w:r>
    </w:p>
    <w:p w14:paraId="1E727881" w14:textId="0E7BFEE4" w:rsidR="00D169D5" w:rsidRPr="00CC3FFF" w:rsidRDefault="00D169D5" w:rsidP="00D169D5">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 xml:space="preserve">BMSCs were cultured in F, P, or S/X media, with secretomes collected after starvation. The secretomes were analyzed for soluble factors, EVs, and miRNAs. Inflammatory responses were assessed in an in vitro OA model using inflamed chondrocytes and gene expression was evaluated by qRT-PCR. </w:t>
      </w:r>
    </w:p>
    <w:p w14:paraId="5371BB5B" w14:textId="00509F69" w:rsidR="00D169D5" w:rsidRPr="00CC3FFF" w:rsidRDefault="00D169D5" w:rsidP="00D169D5">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The secretomes from all conditions exhibited a similar molecular fingerprint. Proteomic analysis identified 98 common proteins encompassing growth factors and inflammatory mediators. EVs showed similar size and phenotype, with a slight difference in CD44 expression in EVs derived from P-expanded MSCs. Despite the high overall similarity, miRNA profiling identified 13 key players, with subtle differences in the miRNA composition of EVs from FBS-expanded BMSCs. All secretomes exhibited anti-inflammatory effects, with the FBS-expanded secretome showing the most pronounced therapeutic potential.</w:t>
      </w:r>
    </w:p>
    <w:p w14:paraId="415715ED" w14:textId="7C5034AA" w:rsidR="004D13F9" w:rsidRPr="00CC3FFF" w:rsidRDefault="00D169D5" w:rsidP="00D169D5">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Conclusion</w:t>
      </w:r>
      <w:r w:rsidR="006D3B3B">
        <w:rPr>
          <w:rFonts w:ascii="Times New Roman" w:hAnsi="Times New Roman" w:cs="Times New Roman"/>
          <w:bCs/>
          <w:iCs/>
          <w:caps/>
          <w:sz w:val="20"/>
          <w:szCs w:val="20"/>
        </w:rPr>
        <w:t>S</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 xml:space="preserve">The secretomes derived from different culture conditions share key molecular components. EVs may contribute to variations in therapeutic outcomes through their cargo. Optimizing MSC expansion conditions is crucial for enhancing the therapeutic potential of MSC-derived secretomes </w:t>
      </w:r>
      <w:r w:rsidRPr="00CC3FFF">
        <w:rPr>
          <w:rFonts w:ascii="Times New Roman" w:hAnsi="Times New Roman" w:cs="Times New Roman"/>
          <w:bCs/>
          <w:iCs/>
          <w:sz w:val="20"/>
          <w:szCs w:val="20"/>
        </w:rPr>
        <w:lastRenderedPageBreak/>
        <w:t>in OA treatment. Further research is needed to clarify the specific role of factors, miRNAs, and EVs in modulating OA pathology.</w:t>
      </w:r>
    </w:p>
    <w:p w14:paraId="3A6E341A" w14:textId="77777777" w:rsidR="00D169D5" w:rsidRPr="00CC3FFF" w:rsidRDefault="00D169D5" w:rsidP="00D169D5">
      <w:pPr>
        <w:adjustRightInd w:val="0"/>
        <w:snapToGrid w:val="0"/>
        <w:spacing w:line="260" w:lineRule="atLeast"/>
        <w:rPr>
          <w:rFonts w:ascii="Times New Roman" w:hAnsi="Times New Roman" w:cs="Times New Roman"/>
          <w:bCs/>
          <w:iCs/>
          <w:caps/>
          <w:sz w:val="20"/>
          <w:szCs w:val="20"/>
        </w:rPr>
      </w:pPr>
    </w:p>
    <w:p w14:paraId="22575655" w14:textId="77777777" w:rsidR="00077C0F" w:rsidRPr="00CC3FFF" w:rsidRDefault="001604DA" w:rsidP="004D13F9">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 xml:space="preserve">25. </w:t>
      </w:r>
      <w:r w:rsidR="00077C0F" w:rsidRPr="00CC3FFF">
        <w:rPr>
          <w:rFonts w:ascii="Times New Roman" w:hAnsi="Times New Roman" w:cs="Times New Roman"/>
          <w:b/>
          <w:bCs/>
          <w:iCs/>
          <w:caps/>
          <w:sz w:val="20"/>
          <w:szCs w:val="20"/>
        </w:rPr>
        <w:t>Selection of mesenchymal stem/stromal cell-derived secretome for osteoarticular diseases through tissue source and priming strategies</w:t>
      </w:r>
      <w:r w:rsidR="00077C0F" w:rsidRPr="00CC3FFF">
        <w:rPr>
          <w:rFonts w:ascii="Times New Roman" w:hAnsi="Times New Roman" w:cs="Times New Roman"/>
          <w:b/>
          <w:bCs/>
          <w:iCs/>
          <w:sz w:val="20"/>
          <w:szCs w:val="20"/>
        </w:rPr>
        <w:t xml:space="preserve"> </w:t>
      </w:r>
    </w:p>
    <w:p w14:paraId="60DB91E3" w14:textId="77777777" w:rsidR="00077C0F" w:rsidRPr="00CC3FFF" w:rsidRDefault="00077C0F" w:rsidP="004D13F9">
      <w:pPr>
        <w:adjustRightInd w:val="0"/>
        <w:snapToGrid w:val="0"/>
        <w:spacing w:line="260" w:lineRule="atLeast"/>
        <w:rPr>
          <w:rFonts w:ascii="Times New Roman" w:hAnsi="Times New Roman" w:cs="Times New Roman"/>
          <w:b/>
          <w:bCs/>
          <w:iCs/>
          <w:sz w:val="20"/>
          <w:szCs w:val="20"/>
        </w:rPr>
      </w:pPr>
    </w:p>
    <w:p w14:paraId="630904C9" w14:textId="14D25E2C" w:rsidR="00077C0F" w:rsidRPr="00CC3FFF" w:rsidRDefault="00077C0F" w:rsidP="00077C0F">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E.</w:t>
      </w:r>
      <w:r w:rsidR="0077048F" w:rsidRPr="00CC3FFF">
        <w:rPr>
          <w:rFonts w:ascii="Times New Roman" w:hAnsi="Times New Roman" w:cs="Times New Roman"/>
          <w:bCs/>
          <w:iCs/>
          <w:sz w:val="20"/>
          <w:szCs w:val="20"/>
          <w:lang w:val="it-IT"/>
        </w:rPr>
        <w:t xml:space="preserve"> </w:t>
      </w:r>
      <w:r w:rsidRPr="00CC3FFF">
        <w:rPr>
          <w:rFonts w:ascii="Times New Roman" w:hAnsi="Times New Roman" w:cs="Times New Roman"/>
          <w:bCs/>
          <w:iCs/>
          <w:sz w:val="20"/>
          <w:szCs w:val="20"/>
          <w:lang w:val="it-IT"/>
        </w:rPr>
        <w:t>Ligotti Mattia</w:t>
      </w:r>
      <w:r w:rsidRPr="00CC3FFF">
        <w:rPr>
          <w:rFonts w:ascii="Times New Roman" w:hAnsi="Times New Roman" w:cs="Times New Roman"/>
          <w:bCs/>
          <w:iCs/>
          <w:sz w:val="20"/>
          <w:szCs w:val="20"/>
          <w:vertAlign w:val="superscript"/>
          <w:lang w:val="it-IT"/>
        </w:rPr>
        <w:t>1</w:t>
      </w:r>
      <w:r w:rsidR="00F9184A" w:rsidRPr="00CC3FFF">
        <w:rPr>
          <w:rFonts w:ascii="Times New Roman" w:hAnsi="Times New Roman" w:cs="Times New Roman"/>
          <w:bCs/>
          <w:iCs/>
          <w:sz w:val="20"/>
          <w:szCs w:val="20"/>
          <w:vertAlign w:val="superscript"/>
          <w:lang w:val="it-IT"/>
        </w:rPr>
        <w:t>§</w:t>
      </w:r>
      <w:r w:rsidRPr="00CC3FFF">
        <w:rPr>
          <w:rFonts w:ascii="Times New Roman" w:hAnsi="Times New Roman" w:cs="Times New Roman"/>
          <w:bCs/>
          <w:iCs/>
          <w:sz w:val="20"/>
          <w:szCs w:val="20"/>
          <w:lang w:val="it-IT"/>
        </w:rPr>
        <w:t>, E. Scalia</w:t>
      </w:r>
      <w:r w:rsidRPr="00CC3FFF">
        <w:rPr>
          <w:rFonts w:ascii="Times New Roman" w:hAnsi="Times New Roman" w:cs="Times New Roman"/>
          <w:bCs/>
          <w:iCs/>
          <w:sz w:val="20"/>
          <w:szCs w:val="20"/>
          <w:vertAlign w:val="superscript"/>
          <w:lang w:val="it-IT"/>
        </w:rPr>
        <w:t>2</w:t>
      </w:r>
      <w:r w:rsidR="00F9184A" w:rsidRPr="00CC3FFF">
        <w:rPr>
          <w:rFonts w:ascii="Times New Roman" w:hAnsi="Times New Roman" w:cs="Times New Roman"/>
          <w:bCs/>
          <w:iCs/>
          <w:sz w:val="20"/>
          <w:szCs w:val="20"/>
          <w:vertAlign w:val="superscript"/>
          <w:lang w:val="it-IT"/>
        </w:rPr>
        <w:t>§</w:t>
      </w:r>
      <w:r w:rsidRPr="00CC3FFF">
        <w:rPr>
          <w:rFonts w:ascii="Times New Roman" w:hAnsi="Times New Roman" w:cs="Times New Roman"/>
          <w:bCs/>
          <w:iCs/>
          <w:sz w:val="20"/>
          <w:szCs w:val="20"/>
          <w:lang w:val="it-IT"/>
        </w:rPr>
        <w:t>, S. D. Scilabra</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M. Lo Pinto</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A. Gallo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R. Vazzana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N. Cuscino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O. Lo Re</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C. Pipia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Amico</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S. Lopa</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A. Colombini</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V. Ippolito</w:t>
      </w:r>
      <w:r w:rsidRPr="00CC3FFF">
        <w:rPr>
          <w:rFonts w:ascii="Times New Roman" w:hAnsi="Times New Roman" w:cs="Times New Roman"/>
          <w:bCs/>
          <w:iCs/>
          <w:sz w:val="20"/>
          <w:szCs w:val="20"/>
          <w:vertAlign w:val="superscript"/>
          <w:lang w:val="it-IT"/>
        </w:rPr>
        <w:t>3,5</w:t>
      </w:r>
      <w:r w:rsidRPr="00CC3FFF">
        <w:rPr>
          <w:rFonts w:ascii="Times New Roman" w:hAnsi="Times New Roman" w:cs="Times New Roman"/>
          <w:bCs/>
          <w:iCs/>
          <w:sz w:val="20"/>
          <w:szCs w:val="20"/>
          <w:lang w:val="it-IT"/>
        </w:rPr>
        <w:t>, A. Maurizi</w:t>
      </w:r>
      <w:r w:rsidRPr="00CC3FFF">
        <w:rPr>
          <w:rFonts w:ascii="Times New Roman" w:hAnsi="Times New Roman" w:cs="Times New Roman"/>
          <w:bCs/>
          <w:iCs/>
          <w:sz w:val="20"/>
          <w:szCs w:val="20"/>
          <w:vertAlign w:val="superscript"/>
          <w:lang w:val="it-IT"/>
        </w:rPr>
        <w:t>6</w:t>
      </w:r>
      <w:r w:rsidRPr="00CC3FFF">
        <w:rPr>
          <w:rFonts w:ascii="Times New Roman" w:hAnsi="Times New Roman" w:cs="Times New Roman"/>
          <w:bCs/>
          <w:iCs/>
          <w:sz w:val="20"/>
          <w:szCs w:val="20"/>
          <w:lang w:val="it-IT"/>
        </w:rPr>
        <w:t>, N. Rucci</w:t>
      </w:r>
      <w:r w:rsidRPr="00CC3FFF">
        <w:rPr>
          <w:rFonts w:ascii="Times New Roman" w:hAnsi="Times New Roman" w:cs="Times New Roman"/>
          <w:bCs/>
          <w:iCs/>
          <w:sz w:val="20"/>
          <w:szCs w:val="20"/>
          <w:vertAlign w:val="superscript"/>
          <w:lang w:val="it-IT"/>
        </w:rPr>
        <w:t>6</w:t>
      </w:r>
      <w:r w:rsidRPr="00CC3FFF">
        <w:rPr>
          <w:rFonts w:ascii="Times New Roman" w:hAnsi="Times New Roman" w:cs="Times New Roman"/>
          <w:bCs/>
          <w:iCs/>
          <w:sz w:val="20"/>
          <w:szCs w:val="20"/>
          <w:lang w:val="it-IT"/>
        </w:rPr>
        <w:t>, V. Agnese</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P. G. Conaldi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Moretti</w:t>
      </w:r>
      <w:r w:rsidRPr="00CC3FFF">
        <w:rPr>
          <w:rFonts w:ascii="Times New Roman" w:hAnsi="Times New Roman" w:cs="Times New Roman"/>
          <w:bCs/>
          <w:iCs/>
          <w:sz w:val="20"/>
          <w:szCs w:val="20"/>
          <w:vertAlign w:val="superscript"/>
          <w:lang w:val="it-IT"/>
        </w:rPr>
        <w:t>3,7,8</w:t>
      </w:r>
      <w:r w:rsidRPr="00CC3FFF">
        <w:rPr>
          <w:rFonts w:ascii="Times New Roman" w:hAnsi="Times New Roman" w:cs="Times New Roman"/>
          <w:bCs/>
          <w:iCs/>
          <w:sz w:val="20"/>
          <w:szCs w:val="20"/>
          <w:lang w:val="it-IT"/>
        </w:rPr>
        <w:t>, V. Miceli</w:t>
      </w:r>
      <w:r w:rsidRPr="00CC3FFF">
        <w:rPr>
          <w:rFonts w:ascii="Times New Roman" w:hAnsi="Times New Roman" w:cs="Times New Roman"/>
          <w:bCs/>
          <w:iCs/>
          <w:sz w:val="20"/>
          <w:szCs w:val="20"/>
          <w:vertAlign w:val="superscript"/>
          <w:lang w:val="it-IT"/>
        </w:rPr>
        <w:t>1</w:t>
      </w:r>
      <w:r w:rsidR="00F9184A" w:rsidRPr="00CC3FFF">
        <w:rPr>
          <w:rFonts w:ascii="Times New Roman" w:hAnsi="Times New Roman" w:cs="Times New Roman"/>
          <w:bCs/>
          <w:iCs/>
          <w:sz w:val="20"/>
          <w:szCs w:val="20"/>
          <w:vertAlign w:val="superscript"/>
          <w:lang w:val="it-IT"/>
        </w:rPr>
        <w:t>#*</w:t>
      </w:r>
      <w:r w:rsidRPr="00CC3FFF">
        <w:rPr>
          <w:rFonts w:ascii="Times New Roman" w:hAnsi="Times New Roman" w:cs="Times New Roman"/>
          <w:bCs/>
          <w:iCs/>
          <w:sz w:val="20"/>
          <w:szCs w:val="20"/>
          <w:lang w:val="it-IT"/>
        </w:rPr>
        <w:t>, Matteo Bulati</w:t>
      </w:r>
      <w:r w:rsidRPr="00CC3FFF">
        <w:rPr>
          <w:rFonts w:ascii="Times New Roman" w:hAnsi="Times New Roman" w:cs="Times New Roman"/>
          <w:bCs/>
          <w:iCs/>
          <w:sz w:val="20"/>
          <w:szCs w:val="20"/>
          <w:vertAlign w:val="superscript"/>
          <w:lang w:val="it-IT"/>
        </w:rPr>
        <w:t>1</w:t>
      </w:r>
      <w:r w:rsidR="00F9184A" w:rsidRPr="00CC3FFF">
        <w:rPr>
          <w:rFonts w:ascii="Times New Roman" w:hAnsi="Times New Roman" w:cs="Times New Roman"/>
          <w:bCs/>
          <w:iCs/>
          <w:sz w:val="20"/>
          <w:szCs w:val="20"/>
          <w:vertAlign w:val="superscript"/>
          <w:lang w:val="it-IT"/>
        </w:rPr>
        <w:t>#*</w:t>
      </w:r>
    </w:p>
    <w:p w14:paraId="78F63F19" w14:textId="77777777" w:rsidR="004D13F9" w:rsidRPr="00CC3FFF" w:rsidRDefault="004D13F9" w:rsidP="004D13F9">
      <w:pPr>
        <w:adjustRightInd w:val="0"/>
        <w:snapToGrid w:val="0"/>
        <w:spacing w:line="260" w:lineRule="atLeast"/>
        <w:rPr>
          <w:rFonts w:ascii="Times New Roman" w:hAnsi="Times New Roman" w:cs="Times New Roman"/>
          <w:bCs/>
          <w:iCs/>
          <w:sz w:val="20"/>
          <w:szCs w:val="20"/>
          <w:lang w:val="it-IT"/>
        </w:rPr>
      </w:pPr>
    </w:p>
    <w:p w14:paraId="7A6CE74C" w14:textId="25583C0A" w:rsidR="00077C0F" w:rsidRPr="00CC3FFF" w:rsidRDefault="00077C0F" w:rsidP="00077C0F">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Dep</w:t>
      </w:r>
      <w:r w:rsidR="00CC19D1" w:rsidRPr="00CC3FFF">
        <w:rPr>
          <w:rFonts w:ascii="Times New Roman" w:hAnsi="Times New Roman" w:cs="Times New Roman"/>
          <w:bCs/>
          <w:iCs/>
          <w:sz w:val="20"/>
          <w:szCs w:val="20"/>
          <w:lang w:val="it-IT"/>
        </w:rPr>
        <w:t>artmen</w:t>
      </w:r>
      <w:r w:rsidRPr="00CC3FFF">
        <w:rPr>
          <w:rFonts w:ascii="Times New Roman" w:hAnsi="Times New Roman" w:cs="Times New Roman"/>
          <w:bCs/>
          <w:iCs/>
          <w:sz w:val="20"/>
          <w:szCs w:val="20"/>
          <w:lang w:val="it-IT"/>
        </w:rPr>
        <w:t>t of Research, IRCCS-ISMETT (Istituto Mediterraneo per i Trapianti e Terapie ad alta specializzazione), Palermo, Italy</w:t>
      </w:r>
    </w:p>
    <w:p w14:paraId="3EF24239" w14:textId="77777777" w:rsidR="00077C0F" w:rsidRPr="00CC3FFF" w:rsidRDefault="00077C0F" w:rsidP="00077C0F">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Ri. MED Foundation, Palermo, Italy</w:t>
      </w:r>
    </w:p>
    <w:p w14:paraId="6EE36909" w14:textId="77777777" w:rsidR="00077C0F" w:rsidRPr="00CC3FFF" w:rsidRDefault="00077C0F" w:rsidP="00077C0F">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Cell and Tissue Engineering Laboratory, IRCCS Galeazzi Orthopedic Institute, Milan, Italy</w:t>
      </w:r>
    </w:p>
    <w:p w14:paraId="2541606D" w14:textId="77777777" w:rsidR="00077C0F" w:rsidRPr="00CC3FFF" w:rsidRDefault="00077C0F" w:rsidP="00077C0F">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Biotechnology Lab, IRCCS Galeazzi Orthopedic Institute, Milan, Italy</w:t>
      </w:r>
    </w:p>
    <w:p w14:paraId="581D0DA3" w14:textId="4174532A" w:rsidR="00077C0F" w:rsidRPr="00CC3FFF" w:rsidRDefault="00077C0F" w:rsidP="00077C0F">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5</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Medicine and Tecnological Innovation (DIMIT), Università degli Studi dell’Insubria, Varese, Italy</w:t>
      </w:r>
    </w:p>
    <w:p w14:paraId="6DA11076" w14:textId="52C4A38A" w:rsidR="00077C0F" w:rsidRPr="00CC3FFF" w:rsidRDefault="00077C0F" w:rsidP="00077C0F">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6</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Biotechnological and Applied Clinical Sciences, University of L’Aquila, L’Aquila, Italy</w:t>
      </w:r>
    </w:p>
    <w:p w14:paraId="57016E6F" w14:textId="77777777" w:rsidR="00077C0F" w:rsidRPr="00CC3FFF" w:rsidRDefault="00077C0F" w:rsidP="00077C0F">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7</w:t>
      </w:r>
      <w:r w:rsidRPr="00CC3FFF">
        <w:rPr>
          <w:rFonts w:ascii="Times New Roman" w:hAnsi="Times New Roman" w:cs="Times New Roman"/>
          <w:bCs/>
          <w:iCs/>
          <w:sz w:val="20"/>
          <w:szCs w:val="20"/>
          <w:lang w:val="it-IT"/>
        </w:rPr>
        <w:t>Regenerative Medicine Division, Institute for Translational Research, Università della Svizzera Italiana (USI) - Ente Ospedaliero Cantonale (EOC), Bellinzona, Switzerland</w:t>
      </w:r>
    </w:p>
    <w:p w14:paraId="7F121C60" w14:textId="77777777" w:rsidR="00F9184A" w:rsidRPr="00CC3FFF" w:rsidRDefault="00077C0F" w:rsidP="00F918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8</w:t>
      </w:r>
      <w:r w:rsidRPr="00CC3FFF">
        <w:rPr>
          <w:rFonts w:ascii="Times New Roman" w:hAnsi="Times New Roman" w:cs="Times New Roman"/>
          <w:bCs/>
          <w:iCs/>
          <w:sz w:val="20"/>
          <w:szCs w:val="20"/>
        </w:rPr>
        <w:t>Euler Institute, Faculty of Biomedical Sciences, Università della Svizzera Italiana (USI), Lugano, Switzerland</w:t>
      </w:r>
    </w:p>
    <w:p w14:paraId="31493BF2" w14:textId="77777777" w:rsidR="003A2080" w:rsidRDefault="00F9184A" w:rsidP="00F918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w:t>
      </w:r>
      <w:r w:rsidR="003A2080">
        <w:rPr>
          <w:rFonts w:ascii="Times New Roman" w:hAnsi="Times New Roman" w:cs="Times New Roman"/>
          <w:bCs/>
          <w:iCs/>
          <w:sz w:val="20"/>
          <w:szCs w:val="20"/>
        </w:rPr>
        <w:t>Co-First</w:t>
      </w:r>
    </w:p>
    <w:p w14:paraId="022030E6" w14:textId="5677140E" w:rsidR="00F9184A" w:rsidRPr="00CC3FFF" w:rsidRDefault="00F9184A" w:rsidP="00F918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w:t>
      </w:r>
      <w:r w:rsidRPr="00CC3FFF">
        <w:rPr>
          <w:rFonts w:ascii="Times New Roman" w:hAnsi="Times New Roman" w:cs="Times New Roman"/>
          <w:bCs/>
          <w:iCs/>
          <w:sz w:val="20"/>
          <w:szCs w:val="20"/>
        </w:rPr>
        <w:t>Co-Last</w:t>
      </w:r>
    </w:p>
    <w:p w14:paraId="28009F14" w14:textId="77777777" w:rsidR="00F9184A" w:rsidRPr="00CC3FFF" w:rsidRDefault="00F9184A" w:rsidP="00F918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w:t>
      </w:r>
      <w:r w:rsidRPr="00CC3FFF">
        <w:rPr>
          <w:rFonts w:ascii="Times New Roman" w:hAnsi="Times New Roman" w:cs="Times New Roman"/>
          <w:bCs/>
          <w:iCs/>
          <w:sz w:val="20"/>
          <w:szCs w:val="20"/>
        </w:rPr>
        <w:t>Corresponding authors</w:t>
      </w:r>
    </w:p>
    <w:p w14:paraId="1FDA4282" w14:textId="77777777" w:rsidR="004D13F9" w:rsidRPr="00CC3FFF" w:rsidRDefault="004D13F9" w:rsidP="004D13F9">
      <w:pPr>
        <w:adjustRightInd w:val="0"/>
        <w:snapToGrid w:val="0"/>
        <w:spacing w:line="260" w:lineRule="atLeast"/>
        <w:rPr>
          <w:rFonts w:ascii="Times New Roman" w:hAnsi="Times New Roman" w:cs="Times New Roman"/>
          <w:bCs/>
          <w:iCs/>
          <w:sz w:val="20"/>
          <w:szCs w:val="20"/>
        </w:rPr>
      </w:pPr>
    </w:p>
    <w:p w14:paraId="096CD20F" w14:textId="07006AD3" w:rsidR="00077C0F" w:rsidRPr="00CC3FFF" w:rsidRDefault="00077C0F" w:rsidP="00077C0F">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In osteochondral pathologies, MSC-derived secretome, rich in immunomodulatory and pro-regenerative proteins and microRNAs, represents a promising cell-free therapeutic approach. However, tissue source and priming markedly shape secretome composition. This study compares secretomes from placenta-derived MSCs (PSCs) and adipose-derived MSCs (ASCs) and evaluates priming strategies to identify the most tailored secretome for osteoarticular applications.</w:t>
      </w:r>
    </w:p>
    <w:p w14:paraId="1FEAA1D3" w14:textId="69776917" w:rsidR="00077C0F" w:rsidRPr="00CC3FFF" w:rsidRDefault="00077C0F" w:rsidP="00077C0F">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Secretomes from ASCs and PSCs were obtained from human biological triplicates and assessed by pathway enrichment to identify signatures related to immunoregulation, extracellular matrix organization, osteogenesis, and chondrogenesis. Based on screening results, PSCs were primed with hypoxia,</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interferon-γ (IFNγ), or interleukin-1β (IL1β). Primed versus unprimed PSC secretomes were compared for proteomic and exosomal miRNA content to identify the optimal priming strategy.</w:t>
      </w:r>
    </w:p>
    <w:p w14:paraId="79B42562" w14:textId="3C890593" w:rsidR="00077C0F" w:rsidRPr="00CC3FFF" w:rsidRDefault="00077C0F" w:rsidP="00077C0F">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Proteomics revealed clear differences between PSC and ASC secretomes. The top upregulated proteins in PSC secretome were enriched in pathways linked to immunomodulation and osteochondral regeneration, while ASC secretome showed limited enrichment in these processes. In PSCs, cytokine priming induced stronger changes than hypoxia. IL1β priming enhanced protein signatures associated with osteochondral processes and immune regulation, whereas IFNγ priming yielded the broadest exosomal miRNA cargo and the strongest enrichment of predicted targets in osteochondral and immunoregulatory pathways.</w:t>
      </w:r>
    </w:p>
    <w:p w14:paraId="17229EA7" w14:textId="77777777" w:rsidR="00F9184A" w:rsidRPr="00CC3FFF" w:rsidRDefault="00077C0F" w:rsidP="00F9184A">
      <w:pPr>
        <w:adjustRightInd w:val="0"/>
        <w:snapToGrid w:val="0"/>
        <w:spacing w:line="260" w:lineRule="atLeast"/>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PSCs provide a more disease-relevant secretome profile than ASCs for osteoarticular applications. Priming enables differential tuning: IL1β primarily boosts protein-driven osteochondral and immunomodulatory signatures, while IFNγ preferentially enriches exosomal miRNA cargo linked to regenerative and immune-regulatory pathways. These findings support PSC-derived, primed secretomes as customizable candidates for cell-free strategies in osteoarticular disease.</w:t>
      </w:r>
      <w:r w:rsidR="00F9184A" w:rsidRPr="00CC3FFF">
        <w:t xml:space="preserve"> </w:t>
      </w:r>
    </w:p>
    <w:p w14:paraId="0E663C2D" w14:textId="6A451BBC" w:rsidR="00F9184A" w:rsidRPr="00CC3FFF" w:rsidRDefault="00F9184A" w:rsidP="00F918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Acknowledgments:</w:t>
      </w:r>
      <w:r w:rsidR="0077048F"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This work was conducted within the project “Spine Unit modelling coupled with hIgh Throughput analysis (SUIT): targeting degeneration with cell secretoma” (Project Code PNRR-MAD-2022-12376354; CUP C43C22001410001), funded by the European Union – Next Generation EU – NRRP M6C2, Investment 2.1 (Enhancement and strengthening of biomedical research in the NHS).</w:t>
      </w:r>
    </w:p>
    <w:p w14:paraId="4C5FF999" w14:textId="77777777" w:rsidR="00077C0F" w:rsidRPr="00CC3FFF" w:rsidRDefault="00077C0F" w:rsidP="00077C0F">
      <w:pPr>
        <w:adjustRightInd w:val="0"/>
        <w:snapToGrid w:val="0"/>
        <w:spacing w:line="260" w:lineRule="atLeast"/>
        <w:rPr>
          <w:rFonts w:ascii="Times New Roman" w:hAnsi="Times New Roman" w:cs="Times New Roman"/>
          <w:bCs/>
          <w:iCs/>
          <w:caps/>
          <w:sz w:val="20"/>
          <w:szCs w:val="20"/>
        </w:rPr>
      </w:pPr>
    </w:p>
    <w:p w14:paraId="3CA6C8C1" w14:textId="308ABD98" w:rsidR="004D13F9" w:rsidRPr="00CC3FFF" w:rsidRDefault="001604DA" w:rsidP="004D13F9">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26. </w:t>
      </w:r>
      <w:r w:rsidR="00600D4A" w:rsidRPr="00CC3FFF">
        <w:rPr>
          <w:rFonts w:ascii="Times New Roman" w:hAnsi="Times New Roman" w:cs="Times New Roman"/>
          <w:b/>
          <w:bCs/>
          <w:iCs/>
          <w:caps/>
          <w:sz w:val="20"/>
          <w:szCs w:val="20"/>
        </w:rPr>
        <w:t>New perspectives for the exploitation of female reproductive potential in mammals: generation of granulosa-like cells from human adipose mesenchymal stem cells</w:t>
      </w:r>
    </w:p>
    <w:p w14:paraId="72CC031C" w14:textId="77777777" w:rsidR="00600D4A" w:rsidRPr="00CC3FFF" w:rsidRDefault="00600D4A" w:rsidP="004D13F9">
      <w:pPr>
        <w:adjustRightInd w:val="0"/>
        <w:snapToGrid w:val="0"/>
        <w:spacing w:line="260" w:lineRule="atLeast"/>
        <w:rPr>
          <w:rFonts w:ascii="Times New Roman" w:hAnsi="Times New Roman" w:cs="Times New Roman"/>
          <w:bCs/>
          <w:iCs/>
          <w:caps/>
          <w:sz w:val="20"/>
          <w:szCs w:val="20"/>
        </w:rPr>
      </w:pPr>
    </w:p>
    <w:p w14:paraId="12D06E8E" w14:textId="619D10DB" w:rsidR="00600D4A" w:rsidRPr="00CC3FFF" w:rsidRDefault="00600D4A" w:rsidP="00600D4A">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Y. Lacapra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D. Farini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Salvatore</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A. Ucci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G. Klinger</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M. De Felici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Camaioni</w:t>
      </w:r>
      <w:r w:rsidRPr="00CC3FFF">
        <w:rPr>
          <w:rFonts w:ascii="Times New Roman" w:hAnsi="Times New Roman" w:cs="Times New Roman"/>
          <w:bCs/>
          <w:iCs/>
          <w:sz w:val="20"/>
          <w:szCs w:val="20"/>
          <w:vertAlign w:val="superscript"/>
          <w:lang w:val="it-IT"/>
        </w:rPr>
        <w:t>1</w:t>
      </w:r>
    </w:p>
    <w:p w14:paraId="52D679C5" w14:textId="77777777" w:rsidR="004D13F9" w:rsidRPr="00CC3FFF" w:rsidRDefault="004D13F9" w:rsidP="004D13F9">
      <w:pPr>
        <w:adjustRightInd w:val="0"/>
        <w:snapToGrid w:val="0"/>
        <w:spacing w:line="260" w:lineRule="atLeast"/>
        <w:rPr>
          <w:rFonts w:ascii="Times New Roman" w:hAnsi="Times New Roman" w:cs="Times New Roman"/>
          <w:bCs/>
          <w:iCs/>
          <w:sz w:val="20"/>
          <w:szCs w:val="20"/>
          <w:lang w:val="it-IT"/>
        </w:rPr>
      </w:pPr>
    </w:p>
    <w:p w14:paraId="6B59FC96" w14:textId="0BBA578D" w:rsidR="00600D4A" w:rsidRPr="00CC3FFF" w:rsidRDefault="00600D4A" w:rsidP="00600D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Biomedicine and Prevention, University of Rome Tor Vergata, Rome, Italy</w:t>
      </w:r>
    </w:p>
    <w:p w14:paraId="763BEA85" w14:textId="77777777" w:rsidR="00600D4A" w:rsidRPr="00CC3FFF" w:rsidRDefault="00600D4A" w:rsidP="00600D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Saint Camillus International University of Health Sciences, Rome, Italy</w:t>
      </w:r>
    </w:p>
    <w:p w14:paraId="5A3B1223" w14:textId="77777777" w:rsidR="004D13F9" w:rsidRPr="00CC3FFF" w:rsidRDefault="004D13F9" w:rsidP="004D13F9">
      <w:pPr>
        <w:adjustRightInd w:val="0"/>
        <w:snapToGrid w:val="0"/>
        <w:spacing w:line="260" w:lineRule="atLeast"/>
        <w:rPr>
          <w:rFonts w:ascii="Times New Roman" w:hAnsi="Times New Roman" w:cs="Times New Roman"/>
          <w:bCs/>
          <w:iCs/>
          <w:sz w:val="20"/>
          <w:szCs w:val="20"/>
        </w:rPr>
      </w:pPr>
    </w:p>
    <w:p w14:paraId="7C0DC142" w14:textId="67F1B63B" w:rsidR="00600D4A" w:rsidRPr="00CC3FFF" w:rsidRDefault="00600D4A" w:rsidP="00600D4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Age, diet, and environmental factors, as well as metabolic and endocrine disorders, significantly impact female reproduction. For this reason, many efforts have been made to study in vitro oocyte production by generating primordial germ cells (PGCs). However, the correct meiotic maturation and growth of a PGC depend primarily on the stage-specific support provided by granulosa cells (GCs). This study aims to generate granulosa-like cells (GLCs) from human adipose mesenchymal stem cells-derived iPSCs (hASC-iPSCs), which share the same embryonic origin as native GCs. These starting cells can more accurately mimic the developmentally regulated differentiation path of the GC lineage than others.</w:t>
      </w:r>
    </w:p>
    <w:p w14:paraId="621C3AC5" w14:textId="601150D4" w:rsidR="00600D4A" w:rsidRPr="00CC3FFF" w:rsidRDefault="00C355F4" w:rsidP="00600D4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00600D4A" w:rsidRPr="00CC3FFF">
        <w:rPr>
          <w:rFonts w:ascii="Times New Roman" w:hAnsi="Times New Roman" w:cs="Times New Roman"/>
          <w:bCs/>
          <w:iCs/>
          <w:sz w:val="20"/>
          <w:szCs w:val="20"/>
        </w:rPr>
        <w:t>Human ASC-iPSCs were previously established in our laboratory. Two protocols for GLC production published in mice were adapted for use with human cells. In the first protocol, stepwise differentiation recapitulates embryonic development: hASC-iPSCs were treated with BMP4 and FGF9 to induce epiblast; CHIR99021, BMP4, and EGF to promote intermediate mesoderm (IMM); exposure to retinoic acid, Sonic Hedgehog, PD0325901, EGF, and BMP4 induced coelomic epithelium (CE); finally, BMP4 and FGF9 generated GLCs. In the second protocol, hASC-iPSCs were cultured with vitamin C and AM580 to directly induce GLCs. Differentiation was assessed at defined time points by morphological analysis and evaluation of lineage-specific markers using real-time PCR and immunofluorescence.</w:t>
      </w:r>
    </w:p>
    <w:p w14:paraId="6D565DBF" w14:textId="5B468752" w:rsidR="00600D4A" w:rsidRPr="00CC3FFF" w:rsidRDefault="00C355F4" w:rsidP="00600D4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00600D4A" w:rsidRPr="00CC3FFF">
        <w:rPr>
          <w:rFonts w:ascii="Times New Roman" w:hAnsi="Times New Roman" w:cs="Times New Roman"/>
          <w:bCs/>
          <w:iCs/>
          <w:sz w:val="20"/>
          <w:szCs w:val="20"/>
        </w:rPr>
        <w:t>The first protocol successfully recapitulates embryonic developmental stages. Expression of Brachyury confirmed epiblast formation; OSR1, IMM differentiation; and GATA4, CE specification, while FOXL2, FSHR, GATA4, LGR5, and WNT4 indicated GLC differentiation. Using the second protocol, treatment with vitamin C and AM580 induced direct differentiation into GLCs, as demonstrated by the expression of the same GC markers described previously. All results were statistically significant compared to controls. In both protocols, evident morphological changes accompanied molecular differentiation.</w:t>
      </w:r>
    </w:p>
    <w:p w14:paraId="22BF1859" w14:textId="014FEA93" w:rsidR="00600D4A" w:rsidRPr="00CC3FFF" w:rsidRDefault="00C355F4" w:rsidP="00600D4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00600D4A" w:rsidRPr="00CC3FFF">
        <w:rPr>
          <w:rFonts w:ascii="Times New Roman" w:hAnsi="Times New Roman" w:cs="Times New Roman"/>
          <w:bCs/>
          <w:iCs/>
          <w:sz w:val="20"/>
          <w:szCs w:val="20"/>
        </w:rPr>
        <w:t>The two protocols efficiently generate cells displaying a granulosa-like phenotype. These findings support the use of hASC-iPSCs as a possible source for in vitro production of GLCs and provide a foundation for ongoing functional studies comparing the two GLC populations in their ability to support oocyte growth and maturation following ovarian follicle reconstitution in vitro.</w:t>
      </w:r>
    </w:p>
    <w:p w14:paraId="163B2187" w14:textId="77777777" w:rsidR="00B123FF" w:rsidRPr="00CC3FFF" w:rsidRDefault="00B123FF" w:rsidP="009C2C61">
      <w:pPr>
        <w:adjustRightInd w:val="0"/>
        <w:snapToGrid w:val="0"/>
        <w:spacing w:line="260" w:lineRule="atLeast"/>
        <w:rPr>
          <w:rFonts w:ascii="Times New Roman" w:hAnsi="Times New Roman" w:cs="Times New Roman"/>
          <w:bCs/>
          <w:iCs/>
          <w:sz w:val="20"/>
          <w:szCs w:val="20"/>
        </w:rPr>
      </w:pPr>
    </w:p>
    <w:p w14:paraId="66B40649" w14:textId="415766EF" w:rsidR="00F450E6" w:rsidRPr="00CC3FFF" w:rsidRDefault="001604DA" w:rsidP="00F450E6">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27</w:t>
      </w:r>
      <w:r w:rsidRPr="00CC3FFF">
        <w:rPr>
          <w:rFonts w:ascii="Times New Roman" w:hAnsi="Times New Roman" w:cs="Times New Roman"/>
          <w:b/>
          <w:bCs/>
          <w:iCs/>
          <w:caps/>
          <w:sz w:val="20"/>
          <w:szCs w:val="20"/>
        </w:rPr>
        <w:t xml:space="preserve">. </w:t>
      </w:r>
      <w:r w:rsidR="002939F4" w:rsidRPr="00CC3FFF">
        <w:rPr>
          <w:rFonts w:ascii="Times New Roman" w:hAnsi="Times New Roman" w:cs="Times New Roman"/>
          <w:b/>
          <w:bCs/>
          <w:iCs/>
          <w:caps/>
          <w:sz w:val="20"/>
          <w:szCs w:val="20"/>
        </w:rPr>
        <w:t>Enhanced osteoinductive and osteoconductive potential of human adipose-derived mesenchymal stromal cells on trabecular titanium compared to chromium cobalt scaffolds</w:t>
      </w:r>
    </w:p>
    <w:p w14:paraId="7E2F214F" w14:textId="77777777" w:rsidR="002939F4" w:rsidRPr="00CC3FFF" w:rsidRDefault="002939F4" w:rsidP="00F450E6">
      <w:pPr>
        <w:adjustRightInd w:val="0"/>
        <w:snapToGrid w:val="0"/>
        <w:spacing w:line="260" w:lineRule="atLeast"/>
        <w:rPr>
          <w:rFonts w:ascii="Times New Roman" w:hAnsi="Times New Roman" w:cs="Times New Roman"/>
          <w:bCs/>
          <w:iCs/>
          <w:sz w:val="20"/>
          <w:szCs w:val="20"/>
        </w:rPr>
      </w:pPr>
    </w:p>
    <w:p w14:paraId="4DA6234E" w14:textId="7771436F" w:rsidR="002939F4" w:rsidRPr="00CC3FFF" w:rsidRDefault="002939F4" w:rsidP="002939F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R. Lauro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Nebuloni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M. Taiana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P. Costa</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G. Sorano</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L. de Girolamo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 Ragni</w:t>
      </w:r>
      <w:r w:rsidRPr="00CC3FFF">
        <w:rPr>
          <w:rFonts w:ascii="Times New Roman" w:hAnsi="Times New Roman" w:cs="Times New Roman"/>
          <w:bCs/>
          <w:iCs/>
          <w:sz w:val="20"/>
          <w:szCs w:val="20"/>
          <w:vertAlign w:val="superscript"/>
          <w:lang w:val="it-IT"/>
        </w:rPr>
        <w:t>1</w:t>
      </w:r>
    </w:p>
    <w:p w14:paraId="0C6922F6" w14:textId="77777777" w:rsidR="00F450E6" w:rsidRPr="00CC3FFF" w:rsidRDefault="00F450E6" w:rsidP="00F450E6">
      <w:pPr>
        <w:adjustRightInd w:val="0"/>
        <w:snapToGrid w:val="0"/>
        <w:spacing w:line="260" w:lineRule="atLeast"/>
        <w:rPr>
          <w:rFonts w:ascii="Times New Roman" w:hAnsi="Times New Roman" w:cs="Times New Roman"/>
          <w:bCs/>
          <w:iCs/>
          <w:sz w:val="20"/>
          <w:szCs w:val="20"/>
          <w:lang w:val="it-IT"/>
        </w:rPr>
      </w:pPr>
    </w:p>
    <w:p w14:paraId="3D1BA4CF" w14:textId="1C259C24" w:rsidR="002939F4" w:rsidRPr="00CC3FFF" w:rsidRDefault="002939F4" w:rsidP="002939F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IRCCS Ospedale Galeazzi – Sant’Ambrogio, Laboratory for Biotechnology Applied to Orthopaedics, Milan, Italy</w:t>
      </w:r>
    </w:p>
    <w:p w14:paraId="688E6074" w14:textId="77777777" w:rsidR="002939F4" w:rsidRPr="00CC3FFF" w:rsidRDefault="002939F4" w:rsidP="002939F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Biomedical Engineer, Turin, Italy</w:t>
      </w:r>
    </w:p>
    <w:p w14:paraId="39173861" w14:textId="77777777" w:rsidR="002939F4" w:rsidRPr="00CC3FFF" w:rsidRDefault="002939F4" w:rsidP="002939F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President, MT Ortho S.r.l., Aci Sant’Antonio, Italy</w:t>
      </w:r>
    </w:p>
    <w:p w14:paraId="662887FF" w14:textId="77777777" w:rsidR="00F450E6" w:rsidRPr="00CC3FFF" w:rsidRDefault="00F450E6" w:rsidP="00F450E6">
      <w:pPr>
        <w:adjustRightInd w:val="0"/>
        <w:snapToGrid w:val="0"/>
        <w:spacing w:line="260" w:lineRule="atLeast"/>
        <w:rPr>
          <w:rFonts w:ascii="Times New Roman" w:hAnsi="Times New Roman" w:cs="Times New Roman"/>
          <w:bCs/>
          <w:iCs/>
          <w:sz w:val="20"/>
          <w:szCs w:val="20"/>
        </w:rPr>
      </w:pPr>
    </w:p>
    <w:p w14:paraId="6E241FFE" w14:textId="77777777" w:rsidR="002939F4" w:rsidRPr="00CC3FFF" w:rsidRDefault="002939F4" w:rsidP="002939F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 xml:space="preserve">The study aimed to evaluate and compare the osteoinductive and osteoconductive potential of two metallic scaffolds, trabecular titanium and chromium cobalt alloy. Human adipose-derived mesenchymal stromal cells were used to assess adhesion, viability, osteogenic differentiation and matrix </w:t>
      </w:r>
      <w:r w:rsidRPr="00CC3FFF">
        <w:rPr>
          <w:rFonts w:ascii="Times New Roman" w:hAnsi="Times New Roman" w:cs="Times New Roman"/>
          <w:bCs/>
          <w:iCs/>
          <w:sz w:val="20"/>
          <w:szCs w:val="20"/>
        </w:rPr>
        <w:lastRenderedPageBreak/>
        <w:t xml:space="preserve">mineralization. </w:t>
      </w:r>
    </w:p>
    <w:p w14:paraId="7379BD95" w14:textId="2CF1CA88" w:rsidR="002939F4" w:rsidRPr="00CC3FFF" w:rsidRDefault="002939F4" w:rsidP="002939F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Scaffolds were characterized by scanning electron microscopy before and after cell seeding. Cultures were maintained for up to 28 days in either control medium or osteogenic medium. Cell morphology, proliferation and viability were assessed by microscopy and metabolic assays. Osteogenic differentiation was quantified by alkaline phosphatase activity, calcium deposition, nutrient depletion assays and gene expression of alkaline phosphatase and runt related transcription factor 2 measured by quantitative real-time polymerase chain reaction.</w:t>
      </w:r>
    </w:p>
    <w:p w14:paraId="3F5267FE" w14:textId="4856BEBC" w:rsidR="002939F4" w:rsidRPr="00CC3FFF" w:rsidRDefault="002939F4" w:rsidP="002939F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Cells adhered and proliferated on both scaffolds with sustained viability. Trabecular titanium induced early increases in alkaline phosphatase activity and calcium deposition under control conditions and further enhanced mineralization in osteogenic medium, demonstrating both osteoinductive and osteoconductive behavior. Gene expression analysis confirmed higher alkaline phosphatase transcription in titanium cultures. Chromium cobalt supported adhesion and viability but showed minimal osteogenic differentiation, with low alkaline phosphatase activity, absence of calcium deposition and reduced expression of osteogenic transcription factors compared with titanium.</w:t>
      </w:r>
    </w:p>
    <w:p w14:paraId="450C004A" w14:textId="131E8888" w:rsidR="002939F4" w:rsidRPr="00CC3FFF" w:rsidRDefault="002939F4" w:rsidP="002939F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Trabecular titanium effectively promoted mesenchymal stromal cell commitment toward the osteogenic lineage even without exogenous stimuli, supporting both bone induction and bone conduction.</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Chromium cobalt lacked these properties and may exert an inhibitory influence on osteogenesis. These data support preferential clinical use of titanium scaffolds in orthopaedic applications requiring reliable bone integration and regeneration.</w:t>
      </w:r>
    </w:p>
    <w:p w14:paraId="6EAD1490" w14:textId="209693AF" w:rsidR="004D13F9" w:rsidRPr="00CC3FFF" w:rsidRDefault="004D13F9" w:rsidP="00F450E6">
      <w:pPr>
        <w:adjustRightInd w:val="0"/>
        <w:snapToGrid w:val="0"/>
        <w:spacing w:line="260" w:lineRule="atLeast"/>
        <w:rPr>
          <w:rFonts w:ascii="Times New Roman" w:hAnsi="Times New Roman" w:cs="Times New Roman"/>
          <w:bCs/>
          <w:iCs/>
          <w:sz w:val="20"/>
          <w:szCs w:val="20"/>
        </w:rPr>
      </w:pPr>
    </w:p>
    <w:p w14:paraId="7668CA0A" w14:textId="0797CE31" w:rsidR="004D13F9" w:rsidRPr="00CC3FFF" w:rsidRDefault="001604DA" w:rsidP="004D13F9">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28. </w:t>
      </w:r>
      <w:r w:rsidR="002939F4" w:rsidRPr="00CC3FFF">
        <w:rPr>
          <w:rFonts w:ascii="Times New Roman" w:hAnsi="Times New Roman" w:cs="Times New Roman"/>
          <w:b/>
          <w:bCs/>
          <w:iCs/>
          <w:caps/>
          <w:sz w:val="20"/>
          <w:szCs w:val="20"/>
        </w:rPr>
        <w:t>Effects of low-intensity pulsed ultrasound frequencies on chondrogenic differentiation of adipose-derived stromal cells embedded in hydrogels</w:t>
      </w:r>
    </w:p>
    <w:p w14:paraId="2D1BD8EC" w14:textId="77777777" w:rsidR="004D13F9" w:rsidRPr="00CC3FFF" w:rsidRDefault="004D13F9" w:rsidP="004D13F9">
      <w:pPr>
        <w:adjustRightInd w:val="0"/>
        <w:snapToGrid w:val="0"/>
        <w:spacing w:line="260" w:lineRule="atLeast"/>
        <w:rPr>
          <w:rFonts w:ascii="Times New Roman" w:hAnsi="Times New Roman" w:cs="Times New Roman"/>
          <w:bCs/>
          <w:iCs/>
          <w:caps/>
          <w:sz w:val="20"/>
          <w:szCs w:val="20"/>
        </w:rPr>
      </w:pPr>
    </w:p>
    <w:p w14:paraId="2AF973C8" w14:textId="15C00844" w:rsidR="002939F4" w:rsidRPr="00CC3FFF" w:rsidRDefault="002939F4" w:rsidP="002939F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noProof/>
          <w:sz w:val="20"/>
          <w:szCs w:val="20"/>
          <w:lang w:val="it-IT" w:eastAsia="it-IT"/>
        </w:rPr>
        <mc:AlternateContent>
          <mc:Choice Requires="wps">
            <w:drawing>
              <wp:anchor distT="0" distB="0" distL="0" distR="0" simplePos="0" relativeHeight="251659264" behindDoc="1" locked="0" layoutInCell="1" allowOverlap="1" wp14:anchorId="3EDB7D8C" wp14:editId="056C3F0D">
                <wp:simplePos x="0" y="0"/>
                <wp:positionH relativeFrom="page">
                  <wp:posOffset>4722084</wp:posOffset>
                </wp:positionH>
                <wp:positionV relativeFrom="paragraph">
                  <wp:posOffset>253243</wp:posOffset>
                </wp:positionV>
                <wp:extent cx="20320" cy="90805"/>
                <wp:effectExtent l="0" t="0" r="0" b="0"/>
                <wp:wrapNone/>
                <wp:docPr id="274" name="Text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 cy="90805"/>
                        </a:xfrm>
                        <a:prstGeom prst="rect">
                          <a:avLst/>
                        </a:prstGeom>
                      </wps:spPr>
                      <wps:txbx>
                        <w:txbxContent>
                          <w:p w14:paraId="4A188CF8" w14:textId="77777777" w:rsidR="005C0B02" w:rsidRDefault="005C0B02" w:rsidP="002939F4">
                            <w:pPr>
                              <w:spacing w:line="138" w:lineRule="exact"/>
                              <w:rPr>
                                <w:sz w:val="14"/>
                              </w:rPr>
                            </w:pPr>
                            <w:r>
                              <w:rPr>
                                <w:color w:val="231F20"/>
                                <w:spacing w:val="-10"/>
                                <w:w w:val="90"/>
                                <w:sz w:val="14"/>
                              </w:rPr>
                              <w:t>,</w:t>
                            </w:r>
                          </w:p>
                        </w:txbxContent>
                      </wps:txbx>
                      <wps:bodyPr wrap="square" lIns="0" tIns="0" rIns="0" bIns="0" rtlCol="0">
                        <a:noAutofit/>
                      </wps:bodyPr>
                    </wps:wsp>
                  </a:graphicData>
                </a:graphic>
              </wp:anchor>
            </w:drawing>
          </mc:Choice>
          <mc:Fallback>
            <w:pict>
              <v:shape w14:anchorId="3EDB7D8C" id="_x0000_s1027" type="#_x0000_t202" style="position:absolute;left:0;text-align:left;margin-left:371.8pt;margin-top:19.95pt;width:1.6pt;height:7.1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" filled="f" stroked="f">
                <v:textbox inset="0,0,0,0">
                  <w:txbxContent>
                    <w:p w14:paraId="4A188CF8" w14:textId="77777777" w:rsidR="005C0B02" w:rsidRDefault="005C0B02" w:rsidP="002939F4">
                      <w:pPr>
                        <w:spacing w:line="138" w:lineRule="exact"/>
                        <w:rPr>
                          <w:sz w:val="14"/>
                        </w:rPr>
                      </w:pPr>
                      <w:r>
                        <w:rPr>
                          <w:color w:val="231F20"/>
                          <w:spacing w:val="-10"/>
                          <w:w w:val="90"/>
                          <w:sz w:val="14"/>
                        </w:rPr>
                        <w:t>,</w:t>
                      </w:r>
                    </w:p>
                  </w:txbxContent>
                </v:textbox>
                <w10:wrap anchorx="page"/>
              </v:shape>
            </w:pict>
          </mc:Fallback>
        </mc:AlternateContent>
      </w:r>
      <w:r w:rsidRPr="00CC3FFF">
        <w:rPr>
          <w:rFonts w:ascii="Times New Roman" w:hAnsi="Times New Roman" w:cs="Times New Roman"/>
          <w:bCs/>
          <w:iCs/>
          <w:sz w:val="20"/>
          <w:szCs w:val="20"/>
          <w:lang w:val="it-IT"/>
        </w:rPr>
        <w:t>E. Lenzi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D’Atri</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C. Manferdini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 Gabusi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Bacci</w:t>
      </w:r>
      <w:r w:rsidRPr="00CC3FFF">
        <w:rPr>
          <w:rFonts w:ascii="Times New Roman" w:hAnsi="Times New Roman" w:cs="Times New Roman"/>
          <w:bCs/>
          <w:iCs/>
          <w:sz w:val="20"/>
          <w:szCs w:val="20"/>
          <w:vertAlign w:val="superscript"/>
          <w:lang w:val="it-IT"/>
        </w:rPr>
        <w:t>3,4</w:t>
      </w:r>
      <w:r w:rsidRPr="00CC3FFF">
        <w:rPr>
          <w:rFonts w:ascii="Times New Roman" w:hAnsi="Times New Roman" w:cs="Times New Roman"/>
          <w:bCs/>
          <w:iCs/>
          <w:sz w:val="20"/>
          <w:szCs w:val="20"/>
          <w:lang w:val="it-IT"/>
        </w:rPr>
        <w:t>, D. Trucco</w:t>
      </w:r>
      <w:r w:rsidRPr="00CC3FFF">
        <w:rPr>
          <w:rFonts w:ascii="Times New Roman" w:hAnsi="Times New Roman" w:cs="Times New Roman"/>
          <w:bCs/>
          <w:iCs/>
          <w:sz w:val="20"/>
          <w:szCs w:val="20"/>
          <w:vertAlign w:val="superscript"/>
          <w:lang w:val="it-IT"/>
        </w:rPr>
        <w:t>3,4</w:t>
      </w:r>
      <w:r w:rsidRPr="00CC3FFF">
        <w:rPr>
          <w:rFonts w:ascii="Times New Roman" w:hAnsi="Times New Roman" w:cs="Times New Roman"/>
          <w:bCs/>
          <w:iCs/>
          <w:sz w:val="20"/>
          <w:szCs w:val="20"/>
          <w:lang w:val="it-IT"/>
        </w:rPr>
        <w:t>, L. Vannozzi</w:t>
      </w:r>
      <w:r w:rsidRPr="00CC3FFF">
        <w:rPr>
          <w:rFonts w:ascii="Times New Roman" w:hAnsi="Times New Roman" w:cs="Times New Roman"/>
          <w:bCs/>
          <w:iCs/>
          <w:sz w:val="20"/>
          <w:szCs w:val="20"/>
          <w:vertAlign w:val="superscript"/>
          <w:lang w:val="it-IT"/>
        </w:rPr>
        <w:t>3,4</w:t>
      </w:r>
      <w:r w:rsidRPr="00CC3FFF">
        <w:rPr>
          <w:rFonts w:ascii="Times New Roman" w:hAnsi="Times New Roman" w:cs="Times New Roman"/>
          <w:bCs/>
          <w:iCs/>
          <w:sz w:val="20"/>
          <w:szCs w:val="20"/>
          <w:lang w:val="it-IT"/>
        </w:rPr>
        <w:t>, M. Piazzi</w:t>
      </w:r>
      <w:r w:rsidRPr="00CC3FFF">
        <w:rPr>
          <w:rFonts w:ascii="Times New Roman" w:hAnsi="Times New Roman" w:cs="Times New Roman"/>
          <w:bCs/>
          <w:iCs/>
          <w:sz w:val="20"/>
          <w:szCs w:val="20"/>
          <w:vertAlign w:val="superscript"/>
          <w:lang w:val="it-IT"/>
        </w:rPr>
        <w:t>5,6</w:t>
      </w:r>
      <w:r w:rsidRPr="00CC3FFF">
        <w:rPr>
          <w:rFonts w:ascii="Times New Roman" w:hAnsi="Times New Roman" w:cs="Times New Roman"/>
          <w:bCs/>
          <w:iCs/>
          <w:sz w:val="20"/>
          <w:szCs w:val="20"/>
          <w:lang w:val="it-IT"/>
        </w:rPr>
        <w:t>, M. Columbaro</w:t>
      </w:r>
      <w:r w:rsidRPr="00CC3FFF">
        <w:rPr>
          <w:rFonts w:ascii="Times New Roman" w:hAnsi="Times New Roman" w:cs="Times New Roman"/>
          <w:bCs/>
          <w:iCs/>
          <w:sz w:val="20"/>
          <w:szCs w:val="20"/>
          <w:vertAlign w:val="superscript"/>
          <w:lang w:val="it-IT"/>
        </w:rPr>
        <w:t>7</w:t>
      </w:r>
      <w:r w:rsidRPr="00CC3FFF">
        <w:rPr>
          <w:rFonts w:ascii="Times New Roman" w:hAnsi="Times New Roman" w:cs="Times New Roman"/>
          <w:bCs/>
          <w:iCs/>
          <w:sz w:val="20"/>
          <w:szCs w:val="20"/>
          <w:lang w:val="it-IT"/>
        </w:rPr>
        <w:t>, L. Ricotti</w:t>
      </w:r>
      <w:r w:rsidRPr="00CC3FFF">
        <w:rPr>
          <w:rFonts w:ascii="Times New Roman" w:hAnsi="Times New Roman" w:cs="Times New Roman"/>
          <w:bCs/>
          <w:iCs/>
          <w:sz w:val="20"/>
          <w:szCs w:val="20"/>
          <w:vertAlign w:val="superscript"/>
          <w:lang w:val="it-IT"/>
        </w:rPr>
        <w:t>3,4</w:t>
      </w:r>
      <w:r w:rsidRPr="00CC3FFF">
        <w:rPr>
          <w:rFonts w:ascii="Times New Roman" w:hAnsi="Times New Roman" w:cs="Times New Roman"/>
          <w:bCs/>
          <w:iCs/>
          <w:sz w:val="20"/>
          <w:szCs w:val="20"/>
          <w:lang w:val="it-IT"/>
        </w:rPr>
        <w:t>, G. Lisignoli</w:t>
      </w:r>
      <w:r w:rsidRPr="00CC3FFF">
        <w:rPr>
          <w:rFonts w:ascii="Times New Roman" w:hAnsi="Times New Roman" w:cs="Times New Roman"/>
          <w:bCs/>
          <w:iCs/>
          <w:sz w:val="20"/>
          <w:szCs w:val="20"/>
          <w:vertAlign w:val="superscript"/>
          <w:lang w:val="it-IT"/>
        </w:rPr>
        <w:t>1</w:t>
      </w:r>
    </w:p>
    <w:p w14:paraId="23108CA7" w14:textId="77777777" w:rsidR="004D13F9" w:rsidRPr="00CC3FFF" w:rsidRDefault="004D13F9" w:rsidP="004D13F9">
      <w:pPr>
        <w:adjustRightInd w:val="0"/>
        <w:snapToGrid w:val="0"/>
        <w:spacing w:line="260" w:lineRule="atLeast"/>
        <w:rPr>
          <w:rFonts w:ascii="Times New Roman" w:hAnsi="Times New Roman" w:cs="Times New Roman"/>
          <w:bCs/>
          <w:iCs/>
          <w:sz w:val="20"/>
          <w:szCs w:val="20"/>
          <w:lang w:val="it-IT"/>
        </w:rPr>
      </w:pPr>
    </w:p>
    <w:p w14:paraId="0A00B021" w14:textId="748D0C0A" w:rsidR="002939F4" w:rsidRPr="00CC3FFF" w:rsidRDefault="002939F4" w:rsidP="002939F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IRCCS Istituto Ortopedico Rizzoli, Laboratorio di Immunoreumatologia e Rigenerazione Tissutale, Bologna, Italy</w:t>
      </w:r>
    </w:p>
    <w:p w14:paraId="57719AC8" w14:textId="3C33022B" w:rsidR="002939F4" w:rsidRPr="00CC3FFF" w:rsidRDefault="002939F4" w:rsidP="002939F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xml:space="preserve">Politecnico di Milano, </w:t>
      </w:r>
      <w:r w:rsidR="00AC5CDC">
        <w:rPr>
          <w:rFonts w:ascii="Times New Roman" w:hAnsi="Times New Roman" w:cs="Times New Roman"/>
          <w:bCs/>
          <w:iCs/>
          <w:sz w:val="20"/>
          <w:szCs w:val="20"/>
          <w:lang w:val="it-IT"/>
        </w:rPr>
        <w:t>Department</w:t>
      </w:r>
      <w:r w:rsidRPr="00CC3FFF">
        <w:rPr>
          <w:rFonts w:ascii="Times New Roman" w:hAnsi="Times New Roman" w:cs="Times New Roman"/>
          <w:bCs/>
          <w:iCs/>
          <w:sz w:val="20"/>
          <w:szCs w:val="20"/>
          <w:lang w:val="it-IT"/>
        </w:rPr>
        <w:t xml:space="preserve"> of Chemistry, Materials and Chemical Engineering “Giulio Natta”, Milan, Italy</w:t>
      </w:r>
    </w:p>
    <w:p w14:paraId="3C4BDEB9" w14:textId="77777777" w:rsidR="002939F4" w:rsidRPr="00CC3FFF" w:rsidRDefault="002939F4" w:rsidP="002939F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The BioRobotics Institute, Scuola Superiore Sant’Anna, Pisa, Italy</w:t>
      </w:r>
    </w:p>
    <w:p w14:paraId="45AC208B" w14:textId="4C399B2A" w:rsidR="002939F4" w:rsidRPr="00CC3FFF" w:rsidRDefault="002939F4" w:rsidP="002939F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Dep</w:t>
      </w:r>
      <w:r w:rsidR="00CC19D1" w:rsidRPr="00CC3FFF">
        <w:rPr>
          <w:rFonts w:ascii="Times New Roman" w:hAnsi="Times New Roman" w:cs="Times New Roman"/>
          <w:bCs/>
          <w:iCs/>
          <w:sz w:val="20"/>
          <w:szCs w:val="20"/>
          <w:lang w:val="it-IT"/>
        </w:rPr>
        <w:t>artmen</w:t>
      </w:r>
      <w:r w:rsidRPr="00CC3FFF">
        <w:rPr>
          <w:rFonts w:ascii="Times New Roman" w:hAnsi="Times New Roman" w:cs="Times New Roman"/>
          <w:bCs/>
          <w:iCs/>
          <w:sz w:val="20"/>
          <w:szCs w:val="20"/>
          <w:lang w:val="it-IT"/>
        </w:rPr>
        <w:t>t of Excellence in Robotics &amp; AI, Scuola Superiore Sant’Anna, Pisa, Italy</w:t>
      </w:r>
    </w:p>
    <w:p w14:paraId="77695D51" w14:textId="77777777" w:rsidR="002939F4" w:rsidRPr="00CC3FFF" w:rsidRDefault="002939F4" w:rsidP="002939F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Istituto di Genetica Molecolare ‘’Luigi Luca Cavalli-Sforza’’, Consiglio Nazionale delle Ricerche (IGM-CNR), Bologna, Italy</w:t>
      </w:r>
    </w:p>
    <w:p w14:paraId="202DF10D" w14:textId="77777777" w:rsidR="002939F4" w:rsidRPr="00CC3FFF" w:rsidRDefault="002939F4" w:rsidP="002939F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6</w:t>
      </w:r>
      <w:r w:rsidRPr="00CC3FFF">
        <w:rPr>
          <w:rFonts w:ascii="Times New Roman" w:hAnsi="Times New Roman" w:cs="Times New Roman"/>
          <w:bCs/>
          <w:iCs/>
          <w:sz w:val="20"/>
          <w:szCs w:val="20"/>
          <w:lang w:val="it-IT"/>
        </w:rPr>
        <w:t>IRCCS Istituto Ortopedico Rizzoli, Bologna, Italy</w:t>
      </w:r>
    </w:p>
    <w:p w14:paraId="1D8546AF" w14:textId="77777777" w:rsidR="002939F4" w:rsidRPr="00CC3FFF" w:rsidRDefault="002939F4" w:rsidP="002939F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7</w:t>
      </w:r>
      <w:r w:rsidRPr="00CC3FFF">
        <w:rPr>
          <w:rFonts w:ascii="Times New Roman" w:hAnsi="Times New Roman" w:cs="Times New Roman"/>
          <w:bCs/>
          <w:iCs/>
          <w:sz w:val="20"/>
          <w:szCs w:val="20"/>
          <w:lang w:val="it-IT"/>
        </w:rPr>
        <w:t>IRCCS Istituto Ortopedico Rizzoli, Piattaforma di Microscopia Elettronica, Bologna, Italy</w:t>
      </w:r>
    </w:p>
    <w:p w14:paraId="6D578A11" w14:textId="77777777" w:rsidR="004D13F9" w:rsidRPr="00CC3FFF" w:rsidRDefault="004D13F9" w:rsidP="004D13F9">
      <w:pPr>
        <w:adjustRightInd w:val="0"/>
        <w:snapToGrid w:val="0"/>
        <w:spacing w:line="260" w:lineRule="atLeast"/>
        <w:rPr>
          <w:rFonts w:ascii="Times New Roman" w:hAnsi="Times New Roman" w:cs="Times New Roman"/>
          <w:bCs/>
          <w:iCs/>
          <w:sz w:val="20"/>
          <w:szCs w:val="20"/>
          <w:lang w:val="it-IT"/>
        </w:rPr>
      </w:pPr>
    </w:p>
    <w:p w14:paraId="350EB6C5" w14:textId="0196665D" w:rsidR="002939F4" w:rsidRPr="00CC3FFF" w:rsidRDefault="002939F4" w:rsidP="002939F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In cartilage tissue engineering (TE) new solutions are needed to effectively drive chondrogenic differentiation of adipose mesenchymal stromal cells (ASCs). Hydrogels are promising biomaterials capable of embedding ASCs by providing an instructive biomimetic environment which can be stimulated by low-intensity pulsed ultrasound (LIPUS) to regulate cell differentiation. Since the role of ultrasound wave frequency has been poorly explored in this context, the aim of this study was to evaluate three different dose-controlled LIPUS frequencies on the chondrogenic differentiation of ASCs in an RGD-modified hydrogel.</w:t>
      </w:r>
    </w:p>
    <w:p w14:paraId="6E3A35EE" w14:textId="5E74EC04" w:rsidR="002939F4" w:rsidRPr="00CC3FFF" w:rsidRDefault="002939F4" w:rsidP="002939F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Human ASCs at 2*10</w:t>
      </w:r>
      <w:r w:rsidRPr="005C0B02">
        <w:rPr>
          <w:rFonts w:ascii="Times New Roman" w:hAnsi="Times New Roman" w:cs="Times New Roman"/>
          <w:bCs/>
          <w:iCs/>
          <w:sz w:val="20"/>
          <w:szCs w:val="20"/>
          <w:vertAlign w:val="superscript"/>
        </w:rPr>
        <w:t>6</w:t>
      </w:r>
      <w:r w:rsidRPr="00CC3FFF">
        <w:rPr>
          <w:rFonts w:ascii="Times New Roman" w:hAnsi="Times New Roman" w:cs="Times New Roman"/>
          <w:bCs/>
          <w:iCs/>
          <w:sz w:val="20"/>
          <w:szCs w:val="20"/>
        </w:rPr>
        <w:t xml:space="preserve"> cells/mL were embedded in a VitroGel RGD® hydrogel and stimulated with LIPUS (1, 3 and 5 MHz frequencies) every 2 days until day 10 of culture and chondrogenic differentiated for</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28 days. Viability tests were conducted on day 2 and 10, while the chondrogenic extracellular matrix (ECM) formation was evaluated using specific biological (gene expression and immunohistochemistry), ultrastructural (transmission electron microscopy) and mechanical assessments on day 2, 10, and 28.</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Also, integrin β1 receptor blocking experiments were performed using GRGDSP to evaluate LIPUS-mediated integrin mechanotransduction effects using Western Blot analyses on day 10.</w:t>
      </w:r>
    </w:p>
    <w:p w14:paraId="4107D6FE" w14:textId="679CA855" w:rsidR="002939F4" w:rsidRPr="00CC3FFF" w:rsidRDefault="002939F4" w:rsidP="002939F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lastRenderedPageBreak/>
        <w:t xml:space="preserve">Results: </w:t>
      </w:r>
      <w:r w:rsidRPr="00CC3FFF">
        <w:rPr>
          <w:rFonts w:ascii="Times New Roman" w:hAnsi="Times New Roman" w:cs="Times New Roman"/>
          <w:bCs/>
          <w:iCs/>
          <w:sz w:val="20"/>
          <w:szCs w:val="20"/>
        </w:rPr>
        <w:t>In all hydrogels, LIPUS did not affect the viability of the embedded cells. From day 10 to 28, the 5 MHz frequency was the most effective treatment for increasing the typical genes and proteins of the hyaline cartilage ECM (collagen type 2, aggrecan) and for reducing the ones associated with fibrosis (collagen type 1) and hypertrophy (collagen type 10). Interestingly, electron microscopy evidenced the formation of a well-organized ECM with fibrils having the structural features of mature collagen fibers. Rheological and mechanical evaluations showed the highest compressive resistance and toughness in hydrogels treated with 5 MHz. Also, blocking experiments confirmed the direct involvement of the integrin β1 receptor and FAK/ERK pathway in the response to LIPUS stimulation.</w:t>
      </w:r>
    </w:p>
    <w:p w14:paraId="0E264A10" w14:textId="1A15D41E" w:rsidR="002939F4" w:rsidRPr="00CC3FFF" w:rsidRDefault="002939F4" w:rsidP="002939F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Overall, among the LIPUS frequencies tested, the 5 MHz proved to be the best at increasing the chondrogenesis of human ASCs in RGD-modified hydrogels, representing a promising and non-invasive mechanical stimulation strategy for future clinical applications.</w:t>
      </w:r>
    </w:p>
    <w:p w14:paraId="44E6067E" w14:textId="7072EBBE" w:rsidR="009C2C61" w:rsidRPr="00CC3FFF" w:rsidRDefault="009C2C61" w:rsidP="009C2C61">
      <w:pPr>
        <w:adjustRightInd w:val="0"/>
        <w:snapToGrid w:val="0"/>
        <w:spacing w:line="260" w:lineRule="atLeast"/>
        <w:rPr>
          <w:rFonts w:ascii="Times New Roman" w:hAnsi="Times New Roman" w:cs="Times New Roman"/>
          <w:bCs/>
          <w:iCs/>
          <w:sz w:val="20"/>
          <w:szCs w:val="20"/>
        </w:rPr>
      </w:pPr>
    </w:p>
    <w:p w14:paraId="040A77BE" w14:textId="77777777" w:rsidR="00F567AC" w:rsidRPr="00CC3FFF" w:rsidRDefault="001604DA" w:rsidP="004D13F9">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29. </w:t>
      </w:r>
      <w:r w:rsidR="00F567AC" w:rsidRPr="00CC3FFF">
        <w:rPr>
          <w:rFonts w:ascii="Times New Roman" w:hAnsi="Times New Roman" w:cs="Times New Roman"/>
          <w:b/>
          <w:bCs/>
          <w:iCs/>
          <w:caps/>
          <w:sz w:val="20"/>
          <w:szCs w:val="20"/>
        </w:rPr>
        <w:t>Growing bones in a dish: a new human in vitro model of endochondral ossification for the study of bone metastasis</w:t>
      </w:r>
    </w:p>
    <w:p w14:paraId="5E34CF60" w14:textId="77777777" w:rsidR="00F567AC" w:rsidRPr="00CC3FFF" w:rsidRDefault="00F567AC" w:rsidP="004D13F9">
      <w:pPr>
        <w:adjustRightInd w:val="0"/>
        <w:snapToGrid w:val="0"/>
        <w:spacing w:line="260" w:lineRule="atLeast"/>
        <w:rPr>
          <w:rFonts w:ascii="Times New Roman" w:hAnsi="Times New Roman" w:cs="Times New Roman"/>
          <w:b/>
          <w:bCs/>
          <w:iCs/>
          <w:caps/>
          <w:sz w:val="20"/>
          <w:szCs w:val="20"/>
        </w:rPr>
      </w:pPr>
    </w:p>
    <w:p w14:paraId="64FAE88E" w14:textId="3FED7B4B" w:rsidR="00F567AC" w:rsidRPr="00CC3FFF" w:rsidRDefault="00F567AC" w:rsidP="00F567AC">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A. G. Urdalleta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 Ji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J. Witte-Bouma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 Palamà</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V. Trikalitis</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G.Kremers</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M. Aiello</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J. Rouwkema</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S. Scaglione</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N. Di Maggio</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A. Banfi</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E. Farrell</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Lolli</w:t>
      </w:r>
      <w:r w:rsidRPr="00CC3FFF">
        <w:rPr>
          <w:rFonts w:ascii="Times New Roman" w:hAnsi="Times New Roman" w:cs="Times New Roman"/>
          <w:bCs/>
          <w:iCs/>
          <w:sz w:val="20"/>
          <w:szCs w:val="20"/>
          <w:vertAlign w:val="superscript"/>
          <w:lang w:val="it-IT"/>
        </w:rPr>
        <w:t>1</w:t>
      </w:r>
    </w:p>
    <w:p w14:paraId="204E991D" w14:textId="77777777" w:rsidR="004D13F9" w:rsidRPr="00CC3FFF" w:rsidRDefault="004D13F9" w:rsidP="004D13F9">
      <w:pPr>
        <w:adjustRightInd w:val="0"/>
        <w:snapToGrid w:val="0"/>
        <w:spacing w:line="260" w:lineRule="atLeast"/>
        <w:rPr>
          <w:rFonts w:ascii="Times New Roman" w:hAnsi="Times New Roman" w:cs="Times New Roman"/>
          <w:bCs/>
          <w:iCs/>
          <w:sz w:val="20"/>
          <w:szCs w:val="20"/>
          <w:lang w:val="it-IT"/>
        </w:rPr>
      </w:pPr>
    </w:p>
    <w:p w14:paraId="7CED8256" w14:textId="4FBA19F0"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Oral and Maxillofacial Surgery, Erasmus MC University Medical Centre Rotterdam, Rotterdam, The Netherlands</w:t>
      </w:r>
    </w:p>
    <w:p w14:paraId="3EAE26BC" w14:textId="77777777"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React4Life, Genoa, Italy</w:t>
      </w:r>
    </w:p>
    <w:p w14:paraId="3A10E020" w14:textId="4B6DBDDA"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Biomechanical Engineering, University of Twente, Enschede, The Netherlands</w:t>
      </w:r>
    </w:p>
    <w:p w14:paraId="3472FFB2" w14:textId="77777777"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Optical Imaging Centre, Erasmus MC University Medical Centre Rotterdam, Rotterdam, The Netherlands</w:t>
      </w:r>
    </w:p>
    <w:p w14:paraId="3AC821DC" w14:textId="4A0FBE7F"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5</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Biomedicine, Basel University Hospital, University of Basel, Basel, Switzerland</w:t>
      </w:r>
    </w:p>
    <w:p w14:paraId="4171A2D3" w14:textId="77777777" w:rsidR="004D13F9" w:rsidRPr="00CC3FFF" w:rsidRDefault="004D13F9" w:rsidP="004D13F9">
      <w:pPr>
        <w:adjustRightInd w:val="0"/>
        <w:snapToGrid w:val="0"/>
        <w:spacing w:line="260" w:lineRule="atLeast"/>
        <w:rPr>
          <w:rFonts w:ascii="Times New Roman" w:hAnsi="Times New Roman" w:cs="Times New Roman"/>
          <w:bCs/>
          <w:iCs/>
          <w:sz w:val="20"/>
          <w:szCs w:val="20"/>
        </w:rPr>
      </w:pPr>
    </w:p>
    <w:p w14:paraId="69FED30D" w14:textId="01F83933" w:rsidR="00F567AC" w:rsidRPr="00CC3FFF" w:rsidRDefault="0077048F"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OBJECT</w:t>
      </w:r>
      <w:r w:rsidR="006D3B3B">
        <w:rPr>
          <w:rFonts w:ascii="Times New Roman" w:hAnsi="Times New Roman" w:cs="Times New Roman"/>
          <w:bCs/>
          <w:iCs/>
          <w:sz w:val="20"/>
          <w:szCs w:val="20"/>
        </w:rPr>
        <w:t>IVE</w:t>
      </w:r>
      <w:r w:rsidRPr="00CC3FFF">
        <w:rPr>
          <w:rFonts w:ascii="Times New Roman" w:hAnsi="Times New Roman" w:cs="Times New Roman"/>
          <w:bCs/>
          <w:iCs/>
          <w:sz w:val="20"/>
          <w:szCs w:val="20"/>
        </w:rPr>
        <w:t xml:space="preserve">: </w:t>
      </w:r>
      <w:r w:rsidR="00F567AC" w:rsidRPr="00CC3FFF">
        <w:rPr>
          <w:rFonts w:ascii="Times New Roman" w:hAnsi="Times New Roman" w:cs="Times New Roman"/>
          <w:bCs/>
          <w:iCs/>
          <w:sz w:val="20"/>
          <w:szCs w:val="20"/>
        </w:rPr>
        <w:t>No available in vitro model can fully mimic bone formation, impairing our ability to study skeletal diseases and cancers with bone involvement. Metastasis to the bone are often lethal and no treatment is available. Most bones form via endochondral ossification, whereby a template of cartilage tissue</w:t>
      </w:r>
      <w:r w:rsidR="00CC19D1" w:rsidRPr="00CC3FFF">
        <w:rPr>
          <w:rFonts w:ascii="Times New Roman" w:hAnsi="Times New Roman" w:cs="Times New Roman"/>
          <w:bCs/>
          <w:iCs/>
          <w:sz w:val="20"/>
          <w:szCs w:val="20"/>
        </w:rPr>
        <w:t xml:space="preserve"> </w:t>
      </w:r>
      <w:r w:rsidR="00F567AC" w:rsidRPr="00CC3FFF">
        <w:rPr>
          <w:rFonts w:ascii="Times New Roman" w:hAnsi="Times New Roman" w:cs="Times New Roman"/>
          <w:bCs/>
          <w:iCs/>
          <w:sz w:val="20"/>
          <w:szCs w:val="20"/>
        </w:rPr>
        <w:t>is mineralised, vascularised and remodeled into bone. We previously recapitulated endochondral ossification in the tissue engineering setting by implanting mesenchymal stromal cells (MSCs)-derived cartilage in mice, which leads to bone formation. Inspired by this system, we set out to engineer a new fully human model to recapitulate endochondral ossification in vitro, and apply it for studies on bone metastasis.</w:t>
      </w:r>
    </w:p>
    <w:p w14:paraId="6FF38E29" w14:textId="64461487" w:rsidR="00F567AC" w:rsidRPr="00CC3FFF" w:rsidRDefault="0077048F"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MATERIALS AND METHODS: </w:t>
      </w:r>
      <w:r w:rsidR="00F567AC" w:rsidRPr="00CC3FFF">
        <w:rPr>
          <w:rFonts w:ascii="Times New Roman" w:hAnsi="Times New Roman" w:cs="Times New Roman"/>
          <w:bCs/>
          <w:iCs/>
          <w:sz w:val="20"/>
          <w:szCs w:val="20"/>
        </w:rPr>
        <w:t>Human MSC aggregates/pellets were cultured with TGF-β3 to induce cartilage formation and subjected to RNA-sequencing. In vitro cartilage mineralisation was induced by adding β-glycerophosphate. CD14</w:t>
      </w:r>
      <w:r w:rsidR="00F567AC" w:rsidRPr="005C0B02">
        <w:rPr>
          <w:rFonts w:ascii="Times New Roman" w:hAnsi="Times New Roman" w:cs="Times New Roman"/>
          <w:bCs/>
          <w:iCs/>
          <w:sz w:val="20"/>
          <w:szCs w:val="20"/>
          <w:vertAlign w:val="superscript"/>
        </w:rPr>
        <w:t>+</w:t>
      </w:r>
      <w:r w:rsidR="00F567AC" w:rsidRPr="00CC3FFF">
        <w:rPr>
          <w:rFonts w:ascii="Times New Roman" w:hAnsi="Times New Roman" w:cs="Times New Roman"/>
          <w:bCs/>
          <w:iCs/>
          <w:sz w:val="20"/>
          <w:szCs w:val="20"/>
        </w:rPr>
        <w:t>-human monocytes were seeded on the pellets prior to or during mineralisation, and cultured with RANKL/M-CSF. To induce vessel formation, pellets seeded with monocytes were embedded in fibrin hydrogels containing human adipose stromal cells and umbilical vein endothelial cells. For dynamic experiments, the co-cultures were formed in the tissue chambers of a 3D-printed device with a central channel, and MDA-MB-231 metastatic breast cancer cells were perfused in the system. Cancer cells were detected by measuring bioluminescence.</w:t>
      </w:r>
    </w:p>
    <w:p w14:paraId="6DA19F12" w14:textId="61290A95" w:rsidR="00F567AC" w:rsidRPr="00CC3FFF" w:rsidRDefault="0077048F"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RESLUTS: </w:t>
      </w:r>
      <w:r w:rsidR="00F567AC" w:rsidRPr="00CC3FFF">
        <w:rPr>
          <w:rFonts w:ascii="Times New Roman" w:hAnsi="Times New Roman" w:cs="Times New Roman"/>
          <w:bCs/>
          <w:iCs/>
          <w:sz w:val="20"/>
          <w:szCs w:val="20"/>
        </w:rPr>
        <w:t>RNA-sequencing of chondrogenic pellets demonstrated induction of angiogenesis- and remodeling-related genes, which may support these processes in vitro. TRAP+-osteoclasts formed on and infiltrated both unmineralised and mineralised cartilage, as evidenced by gene expression and histological analyses. When vessel-forming cells were added to the co-cultures, confocal microscopy revealed the formation of microvascular networks, with contact between laminin</w:t>
      </w:r>
      <w:r w:rsidR="00F567AC" w:rsidRPr="005C0B02">
        <w:rPr>
          <w:rFonts w:ascii="Times New Roman" w:hAnsi="Times New Roman" w:cs="Times New Roman"/>
          <w:bCs/>
          <w:iCs/>
          <w:sz w:val="20"/>
          <w:szCs w:val="20"/>
          <w:vertAlign w:val="superscript"/>
        </w:rPr>
        <w:t>+</w:t>
      </w:r>
      <w:r w:rsidR="00F567AC" w:rsidRPr="00CC3FFF">
        <w:rPr>
          <w:rFonts w:ascii="Times New Roman" w:hAnsi="Times New Roman" w:cs="Times New Roman"/>
          <w:bCs/>
          <w:iCs/>
          <w:sz w:val="20"/>
          <w:szCs w:val="20"/>
        </w:rPr>
        <w:t>-vessels with lumina and mineralised pellets. Finally, experiments performed in a fluidic device evidenced the ability of the pellet/osteoclasts/vessels co-cultures to attract MDA-MB-231 cancer cells and support their survival and proliferation in vitro.</w:t>
      </w:r>
    </w:p>
    <w:p w14:paraId="4ABD1557" w14:textId="7D9E1CAC" w:rsidR="00F567AC" w:rsidRPr="00CC3FFF" w:rsidRDefault="0077048F"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CONCLUSIONS: </w:t>
      </w:r>
      <w:r w:rsidR="00F567AC" w:rsidRPr="00CC3FFF">
        <w:rPr>
          <w:rFonts w:ascii="Times New Roman" w:hAnsi="Times New Roman" w:cs="Times New Roman"/>
          <w:bCs/>
          <w:iCs/>
          <w:sz w:val="20"/>
          <w:szCs w:val="20"/>
        </w:rPr>
        <w:t>We developed a new in vitro model which simultaneously captures cartilage formation, mineralisation, vessel formation and osteoclastogenesis. This integrated approach pushes the boundaries of the in</w:t>
      </w:r>
      <w:r w:rsidRPr="00CC3FFF">
        <w:rPr>
          <w:rFonts w:ascii="Times New Roman" w:hAnsi="Times New Roman" w:cs="Times New Roman"/>
          <w:bCs/>
          <w:iCs/>
          <w:sz w:val="20"/>
          <w:szCs w:val="20"/>
        </w:rPr>
        <w:t xml:space="preserve"> </w:t>
      </w:r>
      <w:r w:rsidR="00F567AC" w:rsidRPr="00CC3FFF">
        <w:rPr>
          <w:rFonts w:ascii="Times New Roman" w:hAnsi="Times New Roman" w:cs="Times New Roman"/>
          <w:bCs/>
          <w:iCs/>
          <w:sz w:val="20"/>
          <w:szCs w:val="20"/>
        </w:rPr>
        <w:t xml:space="preserve">vitro modeling of bone formation, laying groundwork for a range of skeletal disease modeling </w:t>
      </w:r>
      <w:r w:rsidR="00F567AC" w:rsidRPr="00CC3FFF">
        <w:rPr>
          <w:rFonts w:ascii="Times New Roman" w:hAnsi="Times New Roman" w:cs="Times New Roman"/>
          <w:bCs/>
          <w:iCs/>
          <w:sz w:val="20"/>
          <w:szCs w:val="20"/>
        </w:rPr>
        <w:lastRenderedPageBreak/>
        <w:t>studies, including those on bone metastasis.</w:t>
      </w:r>
    </w:p>
    <w:p w14:paraId="57D903AB" w14:textId="77777777" w:rsidR="00F567AC" w:rsidRPr="00CC3FFF" w:rsidRDefault="00F567AC" w:rsidP="00F567AC">
      <w:pPr>
        <w:adjustRightInd w:val="0"/>
        <w:snapToGrid w:val="0"/>
        <w:spacing w:line="260" w:lineRule="atLeast"/>
        <w:rPr>
          <w:rFonts w:ascii="Times New Roman" w:hAnsi="Times New Roman" w:cs="Times New Roman"/>
          <w:bCs/>
          <w:iCs/>
          <w:sz w:val="20"/>
          <w:szCs w:val="20"/>
        </w:rPr>
      </w:pPr>
    </w:p>
    <w:p w14:paraId="611B2E4F" w14:textId="17681A88" w:rsidR="00F567AC" w:rsidRPr="00CC3FFF" w:rsidRDefault="001604DA" w:rsidP="004D13F9">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30. </w:t>
      </w:r>
      <w:r w:rsidR="00F567AC" w:rsidRPr="00CC3FFF">
        <w:rPr>
          <w:rFonts w:ascii="Times New Roman" w:hAnsi="Times New Roman" w:cs="Times New Roman"/>
          <w:b/>
          <w:bCs/>
          <w:iCs/>
          <w:caps/>
          <w:sz w:val="20"/>
          <w:szCs w:val="20"/>
        </w:rPr>
        <w:t>Influence of mesenchymal stem cell-derived extracellular vesicles on the injured skeletal muscle microenvironment</w:t>
      </w:r>
    </w:p>
    <w:p w14:paraId="5FA9C678" w14:textId="77777777" w:rsidR="00F567AC" w:rsidRPr="00CC3FFF" w:rsidRDefault="00F567AC" w:rsidP="004D13F9">
      <w:pPr>
        <w:adjustRightInd w:val="0"/>
        <w:snapToGrid w:val="0"/>
        <w:spacing w:line="260" w:lineRule="atLeast"/>
        <w:rPr>
          <w:rFonts w:ascii="Times New Roman" w:hAnsi="Times New Roman" w:cs="Times New Roman"/>
          <w:b/>
          <w:bCs/>
          <w:iCs/>
          <w:sz w:val="20"/>
          <w:szCs w:val="20"/>
        </w:rPr>
      </w:pPr>
    </w:p>
    <w:p w14:paraId="5C0A2BCF" w14:textId="0E685F87" w:rsidR="00F567AC" w:rsidRPr="00CC3FFF" w:rsidRDefault="00F567AC" w:rsidP="00F567AC">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A. Longhin</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V. Gatta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Teti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C. Sassoli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F. Chellini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A. Tani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M. Parigi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R. Garella</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F. Palmieri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R. Squecco</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M. Mattioli Belmonte</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C. Licini</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A. La Contana</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A. Ruggeri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Zecchi Orlandini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M. Falconi</w:t>
      </w:r>
      <w:r w:rsidRPr="00CC3FFF">
        <w:rPr>
          <w:rFonts w:ascii="Times New Roman" w:hAnsi="Times New Roman" w:cs="Times New Roman"/>
          <w:bCs/>
          <w:iCs/>
          <w:sz w:val="20"/>
          <w:szCs w:val="20"/>
          <w:vertAlign w:val="superscript"/>
          <w:lang w:val="it-IT"/>
        </w:rPr>
        <w:t>5</w:t>
      </w:r>
    </w:p>
    <w:p w14:paraId="3E93D6CE" w14:textId="77777777" w:rsidR="00F567AC" w:rsidRPr="00CC3FFF" w:rsidRDefault="00F567AC" w:rsidP="00F567AC">
      <w:pPr>
        <w:adjustRightInd w:val="0"/>
        <w:snapToGrid w:val="0"/>
        <w:spacing w:line="260" w:lineRule="atLeast"/>
        <w:rPr>
          <w:rFonts w:ascii="Times New Roman" w:hAnsi="Times New Roman" w:cs="Times New Roman"/>
          <w:bCs/>
          <w:iCs/>
          <w:sz w:val="20"/>
          <w:szCs w:val="20"/>
          <w:lang w:val="it-IT"/>
        </w:rPr>
      </w:pPr>
    </w:p>
    <w:p w14:paraId="35444B23" w14:textId="5D4F400F"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Biomedical and Neuromotor Sciences, University of Bologna, Bologna, Italy</w:t>
      </w:r>
    </w:p>
    <w:p w14:paraId="18034EDD" w14:textId="10FDA725"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Experimental and Clinical Medicine, section of Anatomy and Histology, University of Florence, Florence, Italy</w:t>
      </w:r>
    </w:p>
    <w:p w14:paraId="51F54342" w14:textId="32A5F46D"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Experimental and Clinical Medicine, section of Physiology, University of Florence, Florence, Italy</w:t>
      </w:r>
    </w:p>
    <w:p w14:paraId="4922260D" w14:textId="2AA6CEB1"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Clinical and Molecular Sciences, Università Politecnica delle Marche, Ancona, Italy</w:t>
      </w:r>
    </w:p>
    <w:p w14:paraId="3E1A89DA" w14:textId="44B52DE0"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5</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Medical and Surgical Sciences, University of Bologna, Bologna, Italy</w:t>
      </w:r>
    </w:p>
    <w:p w14:paraId="25A77A93" w14:textId="77777777" w:rsidR="004D13F9" w:rsidRPr="00CC3FFF" w:rsidRDefault="004D13F9" w:rsidP="004D13F9">
      <w:pPr>
        <w:adjustRightInd w:val="0"/>
        <w:snapToGrid w:val="0"/>
        <w:spacing w:line="260" w:lineRule="atLeast"/>
        <w:rPr>
          <w:rFonts w:ascii="Times New Roman" w:hAnsi="Times New Roman" w:cs="Times New Roman"/>
          <w:bCs/>
          <w:iCs/>
          <w:sz w:val="20"/>
          <w:szCs w:val="20"/>
        </w:rPr>
      </w:pPr>
    </w:p>
    <w:p w14:paraId="66FA6FA4" w14:textId="19AEA903" w:rsidR="00F567AC" w:rsidRPr="00CC3FFF" w:rsidRDefault="00F567AC" w:rsidP="00F567AC">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Traumatic events can severely damage skeletal muscles, leading to serious consequences such as insufficient muscle regeneration, muscle loss, fibrosis and impaired muscle function. Although various therapeutic approaches, including cell transplantation, have been explored to improve muscle regeneration, so far none have produced satisfactory results. Cell therapy using mesenchymal stem cells (MSCs) shows great potential for muscle regeneration, particularly through paracrine and</w:t>
      </w:r>
    </w:p>
    <w:p w14:paraId="3099D3AD" w14:textId="77777777"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immunomodulatory factors released by extracellular vesicles (EVs). Although the cellular and molecular mechanisms underlying skeletal muscle regeneration are well understood, the role of EVs in intercellular communication to coordinate the repair and regeneration of damaged myofibers remains a matter of study. Furthermore, the impact of EVs released into the microenvironment by MSCs on myogenic repair and regeneration has not been thoroughly studied. Therefore, the aim of this study is to explore the role of EVs isolated from MSCs in muscle repair and regeneration.</w:t>
      </w:r>
    </w:p>
    <w:p w14:paraId="5D20EDC9" w14:textId="56FDE8EC" w:rsidR="00F567AC" w:rsidRPr="00CC3FFF" w:rsidRDefault="00F567AC" w:rsidP="00F567AC">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EVs were isolated from murine myoblast culture medium using a polyethylene glycol precipitation protocol. EVs derived from myotubes, control myoblasts and MSCs were characterized for their size by dynamic light scattering, electron microscopy and membrane markers. The expression of cytokines was tested by western blotting, real time PCR and ProQuantum immunoassays. The ability to produce myotubes was assessed by inverted light microscopy, and the expression of muscle differentiation markers, such as MyoD and myogenin, was assessed by Western blotting.</w:t>
      </w:r>
    </w:p>
    <w:p w14:paraId="1C9DA8E3" w14:textId="60163EC4" w:rsidR="00F567AC" w:rsidRPr="00CC3FFF" w:rsidRDefault="00F567AC" w:rsidP="00F567AC">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The results demonstrated that damaged myotubes could release inflammatory factors encapsulated in EVs and that EVs isolated from MSCs played a role in reducing the inflammatory microenvironment, promoting myogenic repair and promoting muscle regeneration.</w:t>
      </w:r>
    </w:p>
    <w:p w14:paraId="47A3671D" w14:textId="413352F2" w:rsidR="00A20C26" w:rsidRPr="00CC3FFF" w:rsidRDefault="00F567AC" w:rsidP="00A20C2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In conclusion, our findings highlight the significant role of MSC-derived EVs in regulating myogenic differentiation and regeneration following muscle damage.</w:t>
      </w:r>
      <w:r w:rsidR="00A20C26" w:rsidRPr="00CC3FFF">
        <w:t xml:space="preserve"> </w:t>
      </w:r>
      <w:r w:rsidR="00A20C26" w:rsidRPr="00CC3FFF">
        <w:rPr>
          <w:rFonts w:ascii="Times New Roman" w:hAnsi="Times New Roman" w:cs="Times New Roman"/>
          <w:bCs/>
          <w:iCs/>
          <w:caps/>
          <w:sz w:val="20"/>
          <w:szCs w:val="20"/>
        </w:rPr>
        <w:t>Acknowledgments</w:t>
      </w:r>
      <w:r w:rsidR="00A20C26" w:rsidRPr="00CC3FFF">
        <w:rPr>
          <w:rFonts w:ascii="Times New Roman" w:hAnsi="Times New Roman" w:cs="Times New Roman"/>
          <w:bCs/>
          <w:iCs/>
          <w:sz w:val="20"/>
          <w:szCs w:val="20"/>
        </w:rPr>
        <w:t>: This project has received funding from the Italian Ministry of University and Research, under the PRIN 2022 programme (2022P2NAJ; CUP I53D23003030006) (finanziato dall’Unione Europea – Next Generation EU)</w:t>
      </w:r>
    </w:p>
    <w:p w14:paraId="7F9006F2" w14:textId="77777777" w:rsidR="00F567AC" w:rsidRPr="00CC3FFF" w:rsidRDefault="00F567AC" w:rsidP="00F567AC">
      <w:pPr>
        <w:adjustRightInd w:val="0"/>
        <w:snapToGrid w:val="0"/>
        <w:spacing w:line="260" w:lineRule="atLeast"/>
        <w:rPr>
          <w:rFonts w:ascii="Times New Roman" w:hAnsi="Times New Roman" w:cs="Times New Roman"/>
          <w:bCs/>
          <w:iCs/>
          <w:sz w:val="20"/>
          <w:szCs w:val="20"/>
        </w:rPr>
      </w:pPr>
    </w:p>
    <w:p w14:paraId="4D629C4A" w14:textId="705627D0" w:rsidR="008F5C78" w:rsidRPr="00CC3FFF" w:rsidRDefault="001604DA" w:rsidP="00F567AC">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 xml:space="preserve">31. </w:t>
      </w:r>
      <w:r w:rsidR="00F567AC" w:rsidRPr="00CC3FFF">
        <w:rPr>
          <w:rFonts w:ascii="Times New Roman" w:hAnsi="Times New Roman" w:cs="Times New Roman"/>
          <w:b/>
          <w:bCs/>
          <w:iCs/>
          <w:caps/>
          <w:sz w:val="20"/>
          <w:szCs w:val="20"/>
        </w:rPr>
        <w:t>Role of Glypican3 in tumor dissemination and proliferation: study of extracellular vesicles isolated from the mesenchymal rhabdomyosarcoma cells expressing glypican3</w:t>
      </w:r>
    </w:p>
    <w:p w14:paraId="5B12B346" w14:textId="77777777" w:rsidR="008F5C78" w:rsidRPr="00CC3FFF" w:rsidRDefault="008F5C78" w:rsidP="008F5C78">
      <w:pPr>
        <w:adjustRightInd w:val="0"/>
        <w:snapToGrid w:val="0"/>
        <w:spacing w:line="260" w:lineRule="atLeast"/>
        <w:rPr>
          <w:rFonts w:ascii="Times New Roman" w:hAnsi="Times New Roman" w:cs="Times New Roman"/>
          <w:bCs/>
          <w:iCs/>
          <w:sz w:val="20"/>
          <w:szCs w:val="20"/>
        </w:rPr>
      </w:pPr>
    </w:p>
    <w:p w14:paraId="1290E179" w14:textId="2AB81277" w:rsidR="00F567AC" w:rsidRPr="00CC3FFF" w:rsidRDefault="00F567AC" w:rsidP="00F567AC">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M. Bacchiega</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S. Mallavarapu</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P. Bisaccia</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G. Pasut</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M. Pozzobon</w:t>
      </w:r>
      <w:r w:rsidRPr="00CC3FFF">
        <w:rPr>
          <w:rFonts w:ascii="Times New Roman" w:hAnsi="Times New Roman" w:cs="Times New Roman"/>
          <w:bCs/>
          <w:iCs/>
          <w:sz w:val="20"/>
          <w:szCs w:val="20"/>
          <w:vertAlign w:val="superscript"/>
          <w:lang w:val="it-IT"/>
        </w:rPr>
        <w:t>1,2</w:t>
      </w:r>
    </w:p>
    <w:p w14:paraId="65EB9F6E" w14:textId="77777777" w:rsidR="00F567AC" w:rsidRPr="00CC3FFF" w:rsidRDefault="00F567AC" w:rsidP="00F567AC">
      <w:pPr>
        <w:adjustRightInd w:val="0"/>
        <w:snapToGrid w:val="0"/>
        <w:spacing w:line="260" w:lineRule="atLeast"/>
        <w:rPr>
          <w:rFonts w:ascii="Times New Roman" w:hAnsi="Times New Roman" w:cs="Times New Roman"/>
          <w:bCs/>
          <w:iCs/>
          <w:sz w:val="20"/>
          <w:szCs w:val="20"/>
          <w:vertAlign w:val="superscript"/>
          <w:lang w:val="it-IT"/>
        </w:rPr>
      </w:pPr>
    </w:p>
    <w:p w14:paraId="6B814FC5" w14:textId="60E80D1F"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Women’s and Children’s Health, University of Padua, Padua, Italy</w:t>
      </w:r>
    </w:p>
    <w:p w14:paraId="5ADE3AB7" w14:textId="77777777"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Stem cell and Regenerative Medicine Lab, Institute of Pediatric Research Città della Speranza, Padua, Italy</w:t>
      </w:r>
    </w:p>
    <w:p w14:paraId="1A7F6BF4" w14:textId="5AA46867"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Pharmaceutical and Pharmacological Sciences, University of Padua, Padua, Italy</w:t>
      </w:r>
    </w:p>
    <w:p w14:paraId="4A8E9E6A" w14:textId="77777777" w:rsidR="008F5C78" w:rsidRPr="00CC3FFF" w:rsidRDefault="008F5C78" w:rsidP="008F5C78">
      <w:pPr>
        <w:adjustRightInd w:val="0"/>
        <w:snapToGrid w:val="0"/>
        <w:spacing w:line="260" w:lineRule="atLeast"/>
        <w:rPr>
          <w:rFonts w:ascii="Times New Roman" w:hAnsi="Times New Roman" w:cs="Times New Roman"/>
          <w:bCs/>
          <w:iCs/>
          <w:sz w:val="20"/>
          <w:szCs w:val="20"/>
        </w:rPr>
      </w:pPr>
    </w:p>
    <w:p w14:paraId="0D598A6A" w14:textId="1A64B49E"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The aim of this work is twofold: (1) to unveil the role of glypican 3 (GPC3) in pediatric rhabdomyosarcoma (RMS) dissemination and proliferation by silencing GPC3 in RMS cells using classical 2D cell culture and 3D hyaluronic acid-based hydrogel models; (2) to investigate the role of extracellular vesicles (EVs) in the transport of GPC3.</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RMS is a pediatric soft tissue sarcoma of mesenchymal origin, that mainly affect muscle and it is classified into two subtypes, the embryonal (ERMS), less aggressive, and the alveolar RMS (ARMS), more metastatic. Approximately 20–25% of RMS cases have metastasis at diagnosis, particularly in the lung and bone marrow where the microenvironment (i.e., supporting cells and extracellular matrix</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-ECM- components) contributes significantly to the growth potential of cancer cells. RMS produce their own ECM with minimal involvement of cancer associated fibroblasts. The role of ECM in the growth and migration of RMS, as in other cancers, is becoming increasingly important. The ECM components of RMS include GPC3, a proteoglycan that is naturally turned off in healthy muscle but in RMS is abnormally present. Furthermore, GPC3 has shown to drive cell growth and inhibit cell differentiation in other tumors via cell-signalling pathways.</w:t>
      </w:r>
    </w:p>
    <w:p w14:paraId="40A55BEA" w14:textId="1C56854D" w:rsidR="00F567AC" w:rsidRPr="00CC3FFF" w:rsidRDefault="00F567AC" w:rsidP="00F567AC">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GPC3 was silenced in the RMS cell lines, RH30(ARMS) and RD(ERMS) which were cultured in 2D and 3D models (home-made hyaluronic hydrogel with RMS ECM proteins). The adhesion, proliferation, matrix degradation, and consequent cell motility assays were performed. Functional assays were achieved with the antineoplastic drug doxorubicin and the WNT3a inhibitor, ipafricept. EVs were isolated from RMS wild type cells and added in GPC3 silenced RMS cells in order to perform motility test.</w:t>
      </w:r>
    </w:p>
    <w:p w14:paraId="5409E35B" w14:textId="0C67D5BD" w:rsidR="00F567AC" w:rsidRPr="00CC3FFF" w:rsidRDefault="00F567AC" w:rsidP="00F567AC">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Both in 2D and in 3D model, cell motility and proliferation were significantly impaired after GPC3 silencing. When the in vivo cell-ECM interactions were mimicked in the hyaluronic acid-based hydrogel, doxorubicin and ipafricept were particularly effective against the growth of GPC3-silenced RMS</w:t>
      </w:r>
    </w:p>
    <w:p w14:paraId="1A63FC5E" w14:textId="77777777" w:rsidR="00F567AC"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cells. When EVs from RMS wild type cells were added in GPC3 silenced cells, the wound healing was significantly improved.</w:t>
      </w:r>
    </w:p>
    <w:p w14:paraId="0C8444D9" w14:textId="01EB991C" w:rsidR="008F5C78" w:rsidRPr="00CC3FFF" w:rsidRDefault="00F567AC" w:rsidP="00F567A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 xml:space="preserve">This study lay the foundation for a different therapeutic approach against pediatric RMS that aim to dysregulate the protein microenvironment not only beat the cancer cells. </w:t>
      </w:r>
    </w:p>
    <w:p w14:paraId="465D7C25" w14:textId="77777777" w:rsidR="00F567AC" w:rsidRPr="00CC3FFF" w:rsidRDefault="00F567AC" w:rsidP="00F567AC">
      <w:pPr>
        <w:adjustRightInd w:val="0"/>
        <w:snapToGrid w:val="0"/>
        <w:spacing w:line="260" w:lineRule="atLeast"/>
        <w:rPr>
          <w:rFonts w:ascii="Times New Roman" w:hAnsi="Times New Roman" w:cs="Times New Roman"/>
          <w:bCs/>
          <w:iCs/>
          <w:caps/>
          <w:sz w:val="20"/>
          <w:szCs w:val="20"/>
        </w:rPr>
      </w:pPr>
    </w:p>
    <w:p w14:paraId="709745BD" w14:textId="2B87C2AF" w:rsidR="008F5C78" w:rsidRPr="00CC3FFF" w:rsidRDefault="001604DA" w:rsidP="008F5C78">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32</w:t>
      </w:r>
      <w:r w:rsidRPr="00CC3FFF">
        <w:rPr>
          <w:rFonts w:ascii="Times New Roman" w:hAnsi="Times New Roman" w:cs="Times New Roman"/>
          <w:b/>
          <w:bCs/>
          <w:iCs/>
          <w:caps/>
          <w:sz w:val="20"/>
          <w:szCs w:val="20"/>
        </w:rPr>
        <w:t xml:space="preserve">. </w:t>
      </w:r>
      <w:r w:rsidR="00547DCD" w:rsidRPr="00CC3FFF">
        <w:rPr>
          <w:rFonts w:ascii="Times New Roman" w:hAnsi="Times New Roman" w:cs="Times New Roman"/>
          <w:b/>
          <w:bCs/>
          <w:iCs/>
          <w:caps/>
          <w:sz w:val="20"/>
          <w:szCs w:val="20"/>
        </w:rPr>
        <w:t>Stem cell derived extracellular vesicles ameliorate the neuron mitochondrial damage induced by ROS- LPS- exposure: in vitro model of neuron, microglia, and astrocyte triple co-culture</w:t>
      </w:r>
    </w:p>
    <w:p w14:paraId="765B546D" w14:textId="77777777" w:rsidR="008F5C78" w:rsidRPr="00CC3FFF" w:rsidRDefault="008F5C78" w:rsidP="008F5C78">
      <w:pPr>
        <w:adjustRightInd w:val="0"/>
        <w:snapToGrid w:val="0"/>
        <w:spacing w:line="260" w:lineRule="atLeast"/>
        <w:rPr>
          <w:rFonts w:ascii="Times New Roman" w:hAnsi="Times New Roman" w:cs="Times New Roman"/>
          <w:bCs/>
          <w:iCs/>
          <w:caps/>
          <w:sz w:val="20"/>
          <w:szCs w:val="20"/>
        </w:rPr>
      </w:pPr>
    </w:p>
    <w:p w14:paraId="723D0594" w14:textId="4101B3D1" w:rsidR="00547DCD" w:rsidRPr="00CC3FFF" w:rsidRDefault="00547DCD" w:rsidP="00547DCD">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M. Malenchini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Beretti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Gatti</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E. Del Toro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T. Maraldi</w:t>
      </w:r>
      <w:r w:rsidRPr="00CC3FFF">
        <w:rPr>
          <w:rFonts w:ascii="Times New Roman" w:hAnsi="Times New Roman" w:cs="Times New Roman"/>
          <w:bCs/>
          <w:iCs/>
          <w:sz w:val="20"/>
          <w:szCs w:val="20"/>
          <w:vertAlign w:val="superscript"/>
          <w:lang w:val="it-IT"/>
        </w:rPr>
        <w:t>1</w:t>
      </w:r>
    </w:p>
    <w:p w14:paraId="0B9F2BFB" w14:textId="77777777" w:rsidR="00547DCD" w:rsidRPr="00CC3FFF" w:rsidRDefault="00547DCD" w:rsidP="00547DCD">
      <w:pPr>
        <w:adjustRightInd w:val="0"/>
        <w:snapToGrid w:val="0"/>
        <w:spacing w:line="260" w:lineRule="atLeast"/>
        <w:rPr>
          <w:rFonts w:ascii="Times New Roman" w:hAnsi="Times New Roman" w:cs="Times New Roman"/>
          <w:bCs/>
          <w:iCs/>
          <w:sz w:val="20"/>
          <w:szCs w:val="20"/>
          <w:lang w:val="it-IT"/>
        </w:rPr>
      </w:pPr>
    </w:p>
    <w:p w14:paraId="380105D5" w14:textId="7CD065DC" w:rsidR="00547DCD" w:rsidRPr="00CC3FFF" w:rsidRDefault="00547DCD" w:rsidP="00547DC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Biomedical, Metabolic and Neural Sciences, University of Modena and Reggio Emilia, Modena, Italy</w:t>
      </w:r>
    </w:p>
    <w:p w14:paraId="4D00DC9C" w14:textId="3D897703" w:rsidR="00547DCD" w:rsidRPr="00CC3FFF" w:rsidRDefault="00547DCD" w:rsidP="00547DC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Biomedical and Neuromotor Science, Cellular Signalling Laboratory, University of Bologna, Bologna, Italy</w:t>
      </w:r>
    </w:p>
    <w:p w14:paraId="234BDD58" w14:textId="77777777" w:rsidR="008F5C78" w:rsidRPr="00CC3FFF" w:rsidRDefault="008F5C78" w:rsidP="008F5C78">
      <w:pPr>
        <w:adjustRightInd w:val="0"/>
        <w:snapToGrid w:val="0"/>
        <w:spacing w:line="260" w:lineRule="atLeast"/>
        <w:rPr>
          <w:rFonts w:ascii="Times New Roman" w:hAnsi="Times New Roman" w:cs="Times New Roman"/>
          <w:bCs/>
          <w:iCs/>
          <w:sz w:val="20"/>
          <w:szCs w:val="20"/>
        </w:rPr>
      </w:pPr>
    </w:p>
    <w:p w14:paraId="70C53411" w14:textId="7C9121D1" w:rsidR="00547DCD" w:rsidRPr="00CC3FFF" w:rsidRDefault="0077048F" w:rsidP="00547DC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OBJECT: </w:t>
      </w:r>
      <w:r w:rsidR="00547DCD" w:rsidRPr="00CC3FFF">
        <w:rPr>
          <w:rFonts w:ascii="Times New Roman" w:hAnsi="Times New Roman" w:cs="Times New Roman"/>
          <w:bCs/>
          <w:iCs/>
          <w:sz w:val="20"/>
          <w:szCs w:val="20"/>
        </w:rPr>
        <w:t>Oxidative stress can cause brain damage through neuronal apoptosis, neuroinflammation, and synaptic dysfunction, contributing to the effects of neurodegenerative and vascular diseases. Systemic acute or chronic inflammation is closely related to the increase in reactive oxygen species (ROS) and the presence of lipopolysaccharide (LPS), a component of the cell wall of Gram-negative bacteria, plays a crucial role in neuroinflammatory and neurodegenerative mechanisms. Significantly increased oxidative stress is observed in the brains of Alzheimer disease (AD) patients, where mitochondrial damage is both a cause and a consequence of the accumulation of Aβ and hyperphosphorylated tau. Reactive oxygen species (ROS) play a central role also in brain damage during stroke, especially in the ischemia-reperfusion phase, leading to blood-brain barrier impairment. Moreover, ischemic events can occur in patients with AD. In fact, there is a link between vascular pathology and AD, especially in the elderly.</w:t>
      </w:r>
    </w:p>
    <w:p w14:paraId="586B624A" w14:textId="6FF03F3F" w:rsidR="00547DCD" w:rsidRPr="00CC3FFF" w:rsidRDefault="003445FB" w:rsidP="00547DC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MATERIAL AND METHODS: </w:t>
      </w:r>
      <w:r w:rsidR="00547DCD" w:rsidRPr="00CC3FFF">
        <w:rPr>
          <w:rFonts w:ascii="Times New Roman" w:hAnsi="Times New Roman" w:cs="Times New Roman"/>
          <w:bCs/>
          <w:iCs/>
          <w:sz w:val="20"/>
          <w:szCs w:val="20"/>
        </w:rPr>
        <w:t xml:space="preserve">To investigate perturbations in brain cells occurring in mixed dementia (AD plus vascular dementia components), we used a model a triple culture system containing neurons, </w:t>
      </w:r>
      <w:r w:rsidR="00547DCD" w:rsidRPr="00CC3FFF">
        <w:rPr>
          <w:rFonts w:ascii="Times New Roman" w:hAnsi="Times New Roman" w:cs="Times New Roman"/>
          <w:bCs/>
          <w:iCs/>
          <w:sz w:val="20"/>
          <w:szCs w:val="20"/>
        </w:rPr>
        <w:lastRenderedPageBreak/>
        <w:t>astrocytes, and microglia, which better recapitulate the human disease pathology. Thus, we induced neuronal injury combining LPS and H2O2 exposures.</w:t>
      </w:r>
    </w:p>
    <w:p w14:paraId="55D38275" w14:textId="3C442525" w:rsidR="00547DCD" w:rsidRPr="00CC3FFF" w:rsidRDefault="003445FB" w:rsidP="00547DC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RESULTS: </w:t>
      </w:r>
      <w:r w:rsidR="00547DCD" w:rsidRPr="00CC3FFF">
        <w:rPr>
          <w:rFonts w:ascii="Times New Roman" w:hAnsi="Times New Roman" w:cs="Times New Roman"/>
          <w:bCs/>
          <w:iCs/>
          <w:sz w:val="20"/>
          <w:szCs w:val="20"/>
        </w:rPr>
        <w:t>Cell viability test showed that neuronal death occurred mainly through apoptosis and DNA damage. In</w:t>
      </w:r>
      <w:r w:rsidRPr="00CC3FFF">
        <w:rPr>
          <w:rFonts w:ascii="Times New Roman" w:hAnsi="Times New Roman" w:cs="Times New Roman"/>
          <w:bCs/>
          <w:iCs/>
          <w:sz w:val="20"/>
          <w:szCs w:val="20"/>
        </w:rPr>
        <w:t xml:space="preserve"> </w:t>
      </w:r>
      <w:r w:rsidR="00547DCD" w:rsidRPr="00CC3FFF">
        <w:rPr>
          <w:rFonts w:ascii="Times New Roman" w:hAnsi="Times New Roman" w:cs="Times New Roman"/>
          <w:bCs/>
          <w:iCs/>
          <w:sz w:val="20"/>
          <w:szCs w:val="20"/>
        </w:rPr>
        <w:t>neurons and astrocytes exposed to LPS/H2O2, the expression of NADPH oxidase isoform 2, a source of ROS, increased as well as FOXO3 and SOD2, as mitochondrial ROS scavengers. Indeed, mitochondria changed in their morphology and integrity, meanwhile neurite extension and thickness decreased.</w:t>
      </w:r>
    </w:p>
    <w:p w14:paraId="04103BBA" w14:textId="1DFED1AB" w:rsidR="00547DCD" w:rsidRPr="00CC3FFF" w:rsidRDefault="003445FB" w:rsidP="00547DC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CONCLUSIONS: </w:t>
      </w:r>
      <w:r w:rsidR="00547DCD" w:rsidRPr="00CC3FFF">
        <w:rPr>
          <w:rFonts w:ascii="Times New Roman" w:hAnsi="Times New Roman" w:cs="Times New Roman"/>
          <w:bCs/>
          <w:iCs/>
          <w:sz w:val="20"/>
          <w:szCs w:val="20"/>
        </w:rPr>
        <w:t>The treatment with extracellular vesicles (EVs) derived from amniotic fluid stem cells was tested due to their rich content of antioxidant molecules. Interestingly, EVs reversed the negative effects of LPS/H</w:t>
      </w:r>
      <w:r w:rsidR="00547DCD" w:rsidRPr="00CC3FFF">
        <w:rPr>
          <w:rFonts w:ascii="Times New Roman" w:hAnsi="Times New Roman" w:cs="Times New Roman"/>
          <w:bCs/>
          <w:iCs/>
          <w:sz w:val="20"/>
          <w:szCs w:val="20"/>
          <w:vertAlign w:val="subscript"/>
        </w:rPr>
        <w:t>2</w:t>
      </w:r>
      <w:r w:rsidR="00547DCD" w:rsidRPr="00CC3FFF">
        <w:rPr>
          <w:rFonts w:ascii="Times New Roman" w:hAnsi="Times New Roman" w:cs="Times New Roman"/>
          <w:bCs/>
          <w:iCs/>
          <w:sz w:val="20"/>
          <w:szCs w:val="20"/>
        </w:rPr>
        <w:t>O</w:t>
      </w:r>
      <w:r w:rsidR="00547DCD" w:rsidRPr="00CC3FFF">
        <w:rPr>
          <w:rFonts w:ascii="Times New Roman" w:hAnsi="Times New Roman" w:cs="Times New Roman"/>
          <w:bCs/>
          <w:iCs/>
          <w:sz w:val="20"/>
          <w:szCs w:val="20"/>
          <w:vertAlign w:val="subscript"/>
        </w:rPr>
        <w:t>2</w:t>
      </w:r>
      <w:r w:rsidR="00547DCD" w:rsidRPr="00CC3FFF">
        <w:rPr>
          <w:rFonts w:ascii="Times New Roman" w:hAnsi="Times New Roman" w:cs="Times New Roman"/>
          <w:bCs/>
          <w:iCs/>
          <w:sz w:val="20"/>
          <w:szCs w:val="20"/>
        </w:rPr>
        <w:t xml:space="preserve"> suggesting a protective role on neuronal injury in vitro associated with the EV- cargo, such as SOD proteins and miR-21-5p and miR-181b.</w:t>
      </w:r>
    </w:p>
    <w:p w14:paraId="4BFDC466" w14:textId="731943D4" w:rsidR="00531858" w:rsidRPr="00CC3FFF" w:rsidRDefault="00531858" w:rsidP="008F5C78">
      <w:pPr>
        <w:adjustRightInd w:val="0"/>
        <w:snapToGrid w:val="0"/>
        <w:spacing w:line="260" w:lineRule="atLeast"/>
        <w:rPr>
          <w:rFonts w:ascii="Times New Roman" w:hAnsi="Times New Roman" w:cs="Times New Roman"/>
          <w:bCs/>
          <w:iCs/>
          <w:sz w:val="20"/>
          <w:szCs w:val="20"/>
        </w:rPr>
      </w:pPr>
    </w:p>
    <w:p w14:paraId="132E0116" w14:textId="12B593BA" w:rsidR="00531858" w:rsidRPr="00CC3FFF" w:rsidRDefault="001604DA" w:rsidP="00531858">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33</w:t>
      </w:r>
      <w:r w:rsidRPr="00CC3FFF">
        <w:rPr>
          <w:rFonts w:ascii="Times New Roman" w:hAnsi="Times New Roman" w:cs="Times New Roman"/>
          <w:b/>
          <w:bCs/>
          <w:iCs/>
          <w:caps/>
          <w:sz w:val="20"/>
          <w:szCs w:val="20"/>
        </w:rPr>
        <w:t xml:space="preserve">. </w:t>
      </w:r>
      <w:r w:rsidR="00547DCD" w:rsidRPr="00CC3FFF">
        <w:rPr>
          <w:rFonts w:ascii="Times New Roman" w:hAnsi="Times New Roman" w:cs="Times New Roman"/>
          <w:b/>
          <w:bCs/>
          <w:iCs/>
          <w:caps/>
          <w:sz w:val="20"/>
          <w:szCs w:val="20"/>
        </w:rPr>
        <w:t>Large-scale manufacturing of extracellular vesicles from adipose tissue derived-mesenchymal stromal cells using a bioreactor</w:t>
      </w:r>
    </w:p>
    <w:p w14:paraId="39BBCA3C" w14:textId="77777777" w:rsidR="00547DCD" w:rsidRPr="00CC3FFF" w:rsidRDefault="00547DCD" w:rsidP="00531858">
      <w:pPr>
        <w:adjustRightInd w:val="0"/>
        <w:snapToGrid w:val="0"/>
        <w:spacing w:line="260" w:lineRule="atLeast"/>
        <w:rPr>
          <w:rFonts w:ascii="Times New Roman" w:hAnsi="Times New Roman" w:cs="Times New Roman"/>
          <w:bCs/>
          <w:iCs/>
          <w:sz w:val="20"/>
          <w:szCs w:val="20"/>
        </w:rPr>
      </w:pPr>
    </w:p>
    <w:p w14:paraId="45F5382D" w14:textId="03587E44" w:rsidR="00547DCD" w:rsidRPr="00CC3FFF" w:rsidRDefault="00547DCD" w:rsidP="00547DC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A. Marcianti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 Spampinato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Nava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Pogliani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S.Frigerio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Papa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Moda</w:t>
      </w:r>
      <w:r w:rsidRPr="00CC3FFF">
        <w:rPr>
          <w:rFonts w:ascii="Times New Roman" w:hAnsi="Times New Roman" w:cs="Times New Roman"/>
          <w:bCs/>
          <w:iCs/>
          <w:sz w:val="20"/>
          <w:szCs w:val="20"/>
          <w:vertAlign w:val="superscript"/>
          <w:lang w:val="it-IT"/>
        </w:rPr>
        <w:t>2,3</w:t>
      </w:r>
      <w:r w:rsidRPr="00CC3FFF">
        <w:rPr>
          <w:rFonts w:ascii="Times New Roman" w:hAnsi="Times New Roman" w:cs="Times New Roman"/>
          <w:bCs/>
          <w:iCs/>
          <w:sz w:val="20"/>
          <w:szCs w:val="20"/>
          <w:lang w:val="it-IT"/>
        </w:rPr>
        <w:t>, F. A. Cazzaniga</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C</w:t>
      </w:r>
      <w:r w:rsidR="00F9184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Traversari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D</w:t>
      </w:r>
      <w:r w:rsidR="00F9184A" w:rsidRPr="00CC3FFF">
        <w:rPr>
          <w:rFonts w:ascii="Times New Roman" w:hAnsi="Times New Roman" w:cs="Times New Roman"/>
          <w:bCs/>
          <w:iCs/>
          <w:sz w:val="20"/>
          <w:szCs w:val="20"/>
          <w:lang w:val="it-IT"/>
        </w:rPr>
        <w:t>.</w:t>
      </w:r>
      <w:r w:rsidRPr="00CC3FFF">
        <w:rPr>
          <w:rFonts w:ascii="Times New Roman" w:hAnsi="Times New Roman" w:cs="Times New Roman"/>
          <w:bCs/>
          <w:iCs/>
          <w:sz w:val="20"/>
          <w:szCs w:val="20"/>
          <w:lang w:val="it-IT"/>
        </w:rPr>
        <w:t xml:space="preserve"> Lisini</w:t>
      </w:r>
      <w:r w:rsidRPr="00CC3FFF">
        <w:rPr>
          <w:rFonts w:ascii="Times New Roman" w:hAnsi="Times New Roman" w:cs="Times New Roman"/>
          <w:bCs/>
          <w:iCs/>
          <w:sz w:val="20"/>
          <w:szCs w:val="20"/>
          <w:vertAlign w:val="superscript"/>
          <w:lang w:val="it-IT"/>
        </w:rPr>
        <w:t>1</w:t>
      </w:r>
    </w:p>
    <w:p w14:paraId="404D4D8B" w14:textId="77777777" w:rsidR="00F9184A" w:rsidRPr="00CC3FFF" w:rsidRDefault="00F9184A" w:rsidP="00F9184A">
      <w:pPr>
        <w:adjustRightInd w:val="0"/>
        <w:snapToGrid w:val="0"/>
        <w:spacing w:line="260" w:lineRule="atLeast"/>
        <w:rPr>
          <w:rFonts w:ascii="Times New Roman" w:hAnsi="Times New Roman" w:cs="Times New Roman"/>
          <w:bCs/>
          <w:iCs/>
          <w:sz w:val="20"/>
          <w:szCs w:val="20"/>
          <w:vertAlign w:val="superscript"/>
          <w:lang w:val="it-IT"/>
        </w:rPr>
      </w:pPr>
    </w:p>
    <w:p w14:paraId="0A1B3051" w14:textId="082E42B2" w:rsidR="00F9184A" w:rsidRPr="00CC3FFF" w:rsidRDefault="00F9184A" w:rsidP="00F918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Cell Therapy Production Unit, Scientific Direction, IRCCS Neurologic Institute C. Besta Foundation, Milan, Italy</w:t>
      </w:r>
    </w:p>
    <w:p w14:paraId="50193837" w14:textId="0CDB93F0" w:rsidR="00F9184A" w:rsidRPr="00CC3FFF" w:rsidRDefault="00F9184A" w:rsidP="00F918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Medical Biotechnology and Translational Medicine, University of Milan, Milan, Italy</w:t>
      </w:r>
    </w:p>
    <w:p w14:paraId="728E76EF" w14:textId="77777777" w:rsidR="00F9184A" w:rsidRPr="00CC3FFF" w:rsidRDefault="00F9184A" w:rsidP="00F918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Unit of Laboratory Medicine, Laboratory of Clinical Pathology, IRCCS Neurologic Institute C. Besta Foundation, Milan, Italy</w:t>
      </w:r>
    </w:p>
    <w:p w14:paraId="0ADFEC12" w14:textId="77777777" w:rsidR="00531858" w:rsidRPr="00CC3FFF" w:rsidRDefault="00531858" w:rsidP="00531858">
      <w:pPr>
        <w:adjustRightInd w:val="0"/>
        <w:snapToGrid w:val="0"/>
        <w:spacing w:line="260" w:lineRule="atLeast"/>
        <w:rPr>
          <w:rFonts w:ascii="Times New Roman" w:hAnsi="Times New Roman" w:cs="Times New Roman"/>
          <w:bCs/>
          <w:iCs/>
          <w:sz w:val="20"/>
          <w:szCs w:val="20"/>
        </w:rPr>
      </w:pPr>
    </w:p>
    <w:p w14:paraId="5A8F0D13" w14:textId="226C6061" w:rsidR="00F9184A" w:rsidRPr="00CC3FFF" w:rsidRDefault="00F9184A" w:rsidP="00F9184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Mesenchymal Stromal Cell-derived Extracellular Vesicles (MSC-EV) retain the therapeutic benefits of MSC without the drawbacks associated with cell-based therapies. However, their clinical use is limited by the lack of large-scale isolation protocols. We developed a GMP-compliant standardized protocol for the large-scale preparation of MSC-EV in a bioreactor and investigated their identity in terms of number, morphology, protein content and surface antigens expression in comparison with those obtained in flasks.</w:t>
      </w:r>
    </w:p>
    <w:p w14:paraId="300A947D" w14:textId="16CB61B0" w:rsidR="00F9184A" w:rsidRPr="00CC3FFF" w:rsidRDefault="00F9184A" w:rsidP="00F9184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Adipose tissues from 4 healthy donors were used to isolate and expand MSC both in flasks (small scale) and in the bioreactor (large scale). Culture supernatants were used to isolate EV by ultracentrifugation. EV identity was verified in terms of concentration/size by Nanoparticles Tracking Analysis (NTA), protein content by microBCA, morphology by Transmission Electron Microscopy (TEM), and expression of both EV and MSC typical surface markers by flow cytometry.</w:t>
      </w:r>
    </w:p>
    <w:p w14:paraId="15A22791" w14:textId="202D9575" w:rsidR="00F9184A" w:rsidRPr="00CC3FFF" w:rsidRDefault="00F9184A" w:rsidP="00F9184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Starting from 9,97±4,82x10</w:t>
      </w:r>
      <w:r w:rsidRPr="005C0B02">
        <w:rPr>
          <w:rFonts w:ascii="Times New Roman" w:hAnsi="Times New Roman" w:cs="Times New Roman"/>
          <w:bCs/>
          <w:iCs/>
          <w:sz w:val="20"/>
          <w:szCs w:val="20"/>
          <w:vertAlign w:val="superscript"/>
        </w:rPr>
        <w:t>6</w:t>
      </w:r>
      <w:r w:rsidRPr="00CC3FFF">
        <w:rPr>
          <w:rFonts w:ascii="Times New Roman" w:hAnsi="Times New Roman" w:cs="Times New Roman"/>
          <w:bCs/>
          <w:iCs/>
          <w:sz w:val="20"/>
          <w:szCs w:val="20"/>
        </w:rPr>
        <w:t xml:space="preserve"> MSC at 50-60% confluence, cultured in flasks, we were able to obtain 4,62±1,4x10</w:t>
      </w:r>
      <w:r w:rsidRPr="005C0B02">
        <w:rPr>
          <w:rFonts w:ascii="Times New Roman" w:hAnsi="Times New Roman" w:cs="Times New Roman"/>
          <w:bCs/>
          <w:iCs/>
          <w:sz w:val="20"/>
          <w:szCs w:val="20"/>
          <w:vertAlign w:val="superscript"/>
        </w:rPr>
        <w:t>9</w:t>
      </w:r>
      <w:r w:rsidRPr="00CC3FFF">
        <w:rPr>
          <w:rFonts w:ascii="Times New Roman" w:hAnsi="Times New Roman" w:cs="Times New Roman"/>
          <w:bCs/>
          <w:iCs/>
          <w:sz w:val="20"/>
          <w:szCs w:val="20"/>
        </w:rPr>
        <w:t xml:space="preserve"> total EV from 108 mL supernatants; starting from 92,94±39x10</w:t>
      </w:r>
      <w:r w:rsidRPr="005C0B02">
        <w:rPr>
          <w:rFonts w:ascii="Times New Roman" w:hAnsi="Times New Roman" w:cs="Times New Roman"/>
          <w:bCs/>
          <w:iCs/>
          <w:sz w:val="20"/>
          <w:szCs w:val="20"/>
          <w:vertAlign w:val="superscript"/>
        </w:rPr>
        <w:t>6</w:t>
      </w:r>
      <w:r w:rsidRPr="00CC3FFF">
        <w:rPr>
          <w:rFonts w:ascii="Times New Roman" w:hAnsi="Times New Roman" w:cs="Times New Roman"/>
          <w:bCs/>
          <w:iCs/>
          <w:sz w:val="20"/>
          <w:szCs w:val="20"/>
        </w:rPr>
        <w:t xml:space="preserve"> MSC at the same confluence cultured in a bioreactor, we were able to obtain 6,19±1,8x10</w:t>
      </w:r>
      <w:r w:rsidRPr="005C0B02">
        <w:rPr>
          <w:rFonts w:ascii="Times New Roman" w:hAnsi="Times New Roman" w:cs="Times New Roman"/>
          <w:bCs/>
          <w:iCs/>
          <w:sz w:val="20"/>
          <w:szCs w:val="20"/>
          <w:vertAlign w:val="superscript"/>
        </w:rPr>
        <w:t>10</w:t>
      </w:r>
      <w:r w:rsidRPr="00CC3FFF">
        <w:rPr>
          <w:rFonts w:ascii="Times New Roman" w:hAnsi="Times New Roman" w:cs="Times New Roman"/>
          <w:bCs/>
          <w:iCs/>
          <w:sz w:val="20"/>
          <w:szCs w:val="20"/>
        </w:rPr>
        <w:t xml:space="preserve"> total EV. Purified populations were homogeneous with sizes ranging from 186 to 211nm for EV from flasks and 189 to 248nm for</w:t>
      </w:r>
    </w:p>
    <w:p w14:paraId="6257188F" w14:textId="166AC4AE" w:rsidR="00F9184A" w:rsidRPr="00CC3FFF" w:rsidRDefault="00F9184A" w:rsidP="00F9184A">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EV from bioreactor. Protein content was 40,19±13,30 µg/ml for EV from flasks and 53,9±12,6 µg/ ml for EV from bioreactor. EV obtained both in bioreactor and flasks showed an intact morphology, as analyzed by TEM, and high levels of tetraspanin markers CD9, CD63, CD81 and MSC markers</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lang w:val="it-IT"/>
        </w:rPr>
        <w:t xml:space="preserve">CD105, CD49e, CD146, CD44, CD29. </w:t>
      </w:r>
      <w:r w:rsidRPr="00CC3FFF">
        <w:rPr>
          <w:rFonts w:ascii="Times New Roman" w:hAnsi="Times New Roman" w:cs="Times New Roman"/>
          <w:bCs/>
          <w:iCs/>
          <w:sz w:val="20"/>
          <w:szCs w:val="20"/>
        </w:rPr>
        <w:t>Specific leucocyte-and platelet-markers, as well as endothelial markers were expressed at very low levels on all the EV samples, proving the absence of platelet lysate-derived EV. Although the results were normalized to 108 mL of supernatant, the bioreactor system enabled the collection of 230 mL of supernatant within one week, highlighting its enhanced scalability, reproducibility and suitability for large-scale and clinically relevant EV production.</w:t>
      </w:r>
    </w:p>
    <w:p w14:paraId="2C93352B" w14:textId="23ADA0FA" w:rsidR="00F9184A" w:rsidRPr="00CC3FFF" w:rsidRDefault="00F9184A" w:rsidP="00F9184A">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Our data demonstrate that large-scale, GMP-compliant MSC-EV preparation protocol in a bioreactor is successful and permit to obtain a high number of MSC-EV and to maintain product integrity/identity. Studies on the MSC-EV efficacy and safety, in terms of absence of microbial contaminants, are ongoing.</w:t>
      </w:r>
    </w:p>
    <w:p w14:paraId="5C0DFFF7" w14:textId="77777777" w:rsidR="00F9184A" w:rsidRPr="00CC3FFF" w:rsidRDefault="00F9184A" w:rsidP="00F9184A">
      <w:pPr>
        <w:adjustRightInd w:val="0"/>
        <w:snapToGrid w:val="0"/>
        <w:spacing w:line="260" w:lineRule="atLeast"/>
        <w:rPr>
          <w:rFonts w:ascii="Times New Roman" w:hAnsi="Times New Roman" w:cs="Times New Roman"/>
          <w:bCs/>
          <w:iCs/>
          <w:sz w:val="20"/>
          <w:szCs w:val="20"/>
        </w:rPr>
      </w:pPr>
    </w:p>
    <w:p w14:paraId="1F2FB80F" w14:textId="1E005294" w:rsidR="00BB3D1E" w:rsidRPr="00CC3FFF" w:rsidRDefault="001604DA" w:rsidP="00BB3D1E">
      <w:pPr>
        <w:adjustRightInd w:val="0"/>
        <w:snapToGrid w:val="0"/>
        <w:spacing w:line="260" w:lineRule="atLeast"/>
        <w:rPr>
          <w:rFonts w:ascii="Times New Roman" w:hAnsi="Times New Roman" w:cs="Times New Roman"/>
          <w:b/>
          <w:bCs/>
          <w:iCs/>
          <w:sz w:val="20"/>
          <w:szCs w:val="20"/>
          <w:lang w:val="it-IT"/>
        </w:rPr>
      </w:pPr>
      <w:r w:rsidRPr="00CC3FFF">
        <w:rPr>
          <w:rFonts w:ascii="Times New Roman" w:hAnsi="Times New Roman" w:cs="Times New Roman"/>
          <w:b/>
          <w:bCs/>
          <w:iCs/>
          <w:sz w:val="20"/>
          <w:szCs w:val="20"/>
          <w:lang w:val="it-IT"/>
        </w:rPr>
        <w:t xml:space="preserve">34. </w:t>
      </w:r>
      <w:r w:rsidR="00A46B67" w:rsidRPr="00CC3FFF">
        <w:rPr>
          <w:rFonts w:ascii="Times New Roman" w:hAnsi="Times New Roman" w:cs="Times New Roman"/>
          <w:b/>
          <w:bCs/>
          <w:iCs/>
          <w:caps/>
          <w:sz w:val="20"/>
          <w:szCs w:val="20"/>
          <w:lang w:val="it-IT"/>
        </w:rPr>
        <w:t>Advanced therapies: the sustainability challenge</w:t>
      </w:r>
    </w:p>
    <w:p w14:paraId="0191627A" w14:textId="77777777" w:rsidR="00A46B67" w:rsidRPr="00CC3FFF" w:rsidRDefault="00A46B67" w:rsidP="00BB3D1E">
      <w:pPr>
        <w:adjustRightInd w:val="0"/>
        <w:snapToGrid w:val="0"/>
        <w:spacing w:line="260" w:lineRule="atLeast"/>
        <w:rPr>
          <w:rFonts w:ascii="Times New Roman" w:hAnsi="Times New Roman" w:cs="Times New Roman"/>
          <w:bCs/>
          <w:iCs/>
          <w:sz w:val="20"/>
          <w:szCs w:val="20"/>
          <w:lang w:val="it-IT"/>
        </w:rPr>
      </w:pPr>
    </w:p>
    <w:p w14:paraId="7D250CC2" w14:textId="67AD4229" w:rsidR="00A46B67" w:rsidRPr="00CC3FFF" w:rsidRDefault="00A46B67" w:rsidP="00A46B67">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V. Marsili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L. Ottavi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G. Muzi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I. Proietti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C. Conti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V. Grespi</w:t>
      </w:r>
      <w:r w:rsidRPr="00CC3FFF">
        <w:rPr>
          <w:rFonts w:ascii="Times New Roman" w:hAnsi="Times New Roman" w:cs="Times New Roman"/>
          <w:bCs/>
          <w:iCs/>
          <w:sz w:val="20"/>
          <w:szCs w:val="20"/>
          <w:vertAlign w:val="superscript"/>
          <w:lang w:val="it-IT"/>
        </w:rPr>
        <w:t>1,2</w:t>
      </w:r>
    </w:p>
    <w:p w14:paraId="32749543" w14:textId="77777777" w:rsidR="00BB3D1E" w:rsidRPr="00CC3FFF" w:rsidRDefault="00BB3D1E" w:rsidP="00BB3D1E">
      <w:pPr>
        <w:adjustRightInd w:val="0"/>
        <w:snapToGrid w:val="0"/>
        <w:spacing w:line="260" w:lineRule="atLeast"/>
        <w:rPr>
          <w:rFonts w:ascii="Times New Roman" w:hAnsi="Times New Roman" w:cs="Times New Roman"/>
          <w:bCs/>
          <w:iCs/>
          <w:sz w:val="20"/>
          <w:szCs w:val="20"/>
          <w:lang w:val="it-IT"/>
        </w:rPr>
      </w:pPr>
    </w:p>
    <w:p w14:paraId="14432F1A" w14:textId="507F5E2B" w:rsidR="00A46B67" w:rsidRPr="00CC3FFF" w:rsidRDefault="00A46B67" w:rsidP="00A46B67">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Laboratorio Cellule Staminali, Cell Factory e Biobanca, Santa Maria Hospital, Terni, Italy</w:t>
      </w:r>
    </w:p>
    <w:p w14:paraId="7072B8A8" w14:textId="3C9CDB7A" w:rsidR="00A46B67" w:rsidRPr="00CC3FFF" w:rsidRDefault="00A46B67" w:rsidP="00A46B67">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CC19D1"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Neuroscience, Neurosurgery Unit, Santa Maria Hospital, Terni, Italy</w:t>
      </w:r>
    </w:p>
    <w:p w14:paraId="792A7698" w14:textId="77777777" w:rsidR="00BB3D1E" w:rsidRPr="00CC3FFF" w:rsidRDefault="00BB3D1E" w:rsidP="00BB3D1E">
      <w:pPr>
        <w:adjustRightInd w:val="0"/>
        <w:snapToGrid w:val="0"/>
        <w:spacing w:line="260" w:lineRule="atLeast"/>
        <w:rPr>
          <w:rFonts w:ascii="Times New Roman" w:hAnsi="Times New Roman" w:cs="Times New Roman"/>
          <w:bCs/>
          <w:iCs/>
          <w:sz w:val="20"/>
          <w:szCs w:val="20"/>
        </w:rPr>
      </w:pPr>
    </w:p>
    <w:p w14:paraId="49ADDDEF" w14:textId="698F221B" w:rsidR="008573D4" w:rsidRPr="00CC3FFF" w:rsidRDefault="008573D4" w:rsidP="008573D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This study qualitatively evaluates the different design options and operational practices of an Advanced Therapy Medical Product (ATMP) laboratory in order to minimize environmental impact. An oriented Life Cycle Assessment (LCA) approach was adopted to compare the various guidelines with the specific context of the Laboratorio Cellule Staminali, Cell Factory e Biobanca (CF), in order to identify potential improvements tailored to our setting.</w:t>
      </w:r>
    </w:p>
    <w:p w14:paraId="0A35F7C0" w14:textId="59007B42" w:rsidR="008573D4" w:rsidRPr="00CC3FFF" w:rsidRDefault="008573D4" w:rsidP="008573D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Data were collected from the literature through searches of major scientific databases,</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including Elsevier, MDPI, and PubMed, and were subsequently integrated with information obtained from various corporate sustainability reports. The LCA-oriented comparison considered several factors, including water and waste management, CO</w:t>
      </w:r>
      <w:r w:rsidRPr="00CC3FFF">
        <w:rPr>
          <w:rFonts w:ascii="Cambria Math" w:hAnsi="Cambria Math" w:cs="Cambria Math"/>
          <w:bCs/>
          <w:iCs/>
          <w:sz w:val="20"/>
          <w:szCs w:val="20"/>
        </w:rPr>
        <w:t>₂</w:t>
      </w:r>
      <w:r w:rsidRPr="00CC3FFF">
        <w:rPr>
          <w:rFonts w:ascii="Times New Roman" w:hAnsi="Times New Roman" w:cs="Times New Roman"/>
          <w:bCs/>
          <w:iCs/>
          <w:sz w:val="20"/>
          <w:szCs w:val="20"/>
        </w:rPr>
        <w:t>eq emissions, and energy consumption, evaluated across the different proposed options. The aspects analyzed in this study include laboratory design (open vs. closed), the usage strategy of consumable materials (washable vs. single-use) and their material origin (fossil-based vs. bio-based).</w:t>
      </w:r>
    </w:p>
    <w:p w14:paraId="476314E5" w14:textId="6C3C162F" w:rsidR="008573D4" w:rsidRPr="00CC3FFF" w:rsidRDefault="008573D4" w:rsidP="008573D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The best design solution emerging as the most sustainable is the closed one, both in terms of energy consumption and installation impacts, in contrast to the traditional layout of our CF. Nevertheless, both solutions considered require a high level of energy input for HVAC operation and maintenance. In order to offset this excessive energy consumption, single-use consumables are preferred over washable ones, as they reduce autoclave use for sterilization and, consequently, the laboratory’s overall energy demand. An additional strategy to enhance facility sustainability involves the use of consumables made of polypropylene derived from used cooking oil (UCO) rather than petroleum, with benefits extending beyond laboratory waste management to the materials’ production supply chain.</w:t>
      </w:r>
    </w:p>
    <w:p w14:paraId="1B12CCB8" w14:textId="679D7243" w:rsidR="008573D4" w:rsidRPr="00CC3FFF" w:rsidRDefault="008573D4" w:rsidP="008573D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One of the most challenging aspects in the field of ATMPs is sustainability, particularly in the effort to balance it with the various production requirements. This study aims to analyze the internal procedures of the CF in relation to existing guidelines, with the goal of implementing sustainable alternatives from both an ecological and an economic perspective, without compromising laboratory productivity.</w:t>
      </w:r>
    </w:p>
    <w:p w14:paraId="69CEE52F" w14:textId="56F11B91" w:rsidR="00BB3D1E" w:rsidRPr="00CC3FFF" w:rsidRDefault="00BB3D1E" w:rsidP="00BB3D1E">
      <w:pPr>
        <w:adjustRightInd w:val="0"/>
        <w:snapToGrid w:val="0"/>
        <w:spacing w:line="260" w:lineRule="atLeast"/>
        <w:rPr>
          <w:rFonts w:ascii="Times New Roman" w:hAnsi="Times New Roman" w:cs="Times New Roman"/>
          <w:bCs/>
          <w:iCs/>
          <w:sz w:val="20"/>
          <w:szCs w:val="20"/>
        </w:rPr>
      </w:pPr>
    </w:p>
    <w:p w14:paraId="7F4D8DE9" w14:textId="77777777" w:rsidR="006B6F79" w:rsidRPr="00CC3FFF" w:rsidRDefault="001604DA" w:rsidP="00BB3D1E">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35. </w:t>
      </w:r>
      <w:r w:rsidR="006B6F79" w:rsidRPr="00CC3FFF">
        <w:rPr>
          <w:rFonts w:ascii="Times New Roman" w:hAnsi="Times New Roman" w:cs="Times New Roman"/>
          <w:b/>
          <w:bCs/>
          <w:iCs/>
          <w:caps/>
          <w:sz w:val="20"/>
          <w:szCs w:val="20"/>
        </w:rPr>
        <w:t>The influence of standard hepatocyte medium and/or interleukin 13 on the phenotype of non-parenchymal hepatic cell lines in monoculture and co-culture in vitro</w:t>
      </w:r>
    </w:p>
    <w:p w14:paraId="1CCE5C76" w14:textId="77777777" w:rsidR="006B6F79" w:rsidRPr="00CC3FFF" w:rsidRDefault="006B6F79" w:rsidP="00BB3D1E">
      <w:pPr>
        <w:adjustRightInd w:val="0"/>
        <w:snapToGrid w:val="0"/>
        <w:spacing w:line="260" w:lineRule="atLeast"/>
        <w:rPr>
          <w:rFonts w:ascii="Times New Roman" w:hAnsi="Times New Roman" w:cs="Times New Roman"/>
          <w:b/>
          <w:bCs/>
          <w:iCs/>
          <w:caps/>
          <w:sz w:val="20"/>
          <w:szCs w:val="20"/>
        </w:rPr>
      </w:pPr>
    </w:p>
    <w:p w14:paraId="08830386" w14:textId="6D5C9172" w:rsidR="006B6F79" w:rsidRPr="00CC3FFF" w:rsidRDefault="006B6F79" w:rsidP="006B6F79">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A. Mazurski</w:t>
      </w:r>
      <w:r w:rsidR="00CC19D1"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E. Kolanko</w:t>
      </w:r>
      <w:r w:rsidR="00CC19D1"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P. Czekaj</w:t>
      </w:r>
      <w:r w:rsidR="00CC19D1" w:rsidRPr="00CC3FFF">
        <w:rPr>
          <w:rFonts w:ascii="Times New Roman" w:hAnsi="Times New Roman" w:cs="Times New Roman"/>
          <w:bCs/>
          <w:iCs/>
          <w:sz w:val="20"/>
          <w:szCs w:val="20"/>
          <w:vertAlign w:val="superscript"/>
        </w:rPr>
        <w:t>1</w:t>
      </w:r>
    </w:p>
    <w:p w14:paraId="30DFA252" w14:textId="77777777" w:rsidR="006B6F79" w:rsidRPr="00CC3FFF" w:rsidRDefault="006B6F79" w:rsidP="006B6F79">
      <w:pPr>
        <w:adjustRightInd w:val="0"/>
        <w:snapToGrid w:val="0"/>
        <w:spacing w:line="260" w:lineRule="atLeast"/>
        <w:rPr>
          <w:rFonts w:ascii="Times New Roman" w:hAnsi="Times New Roman" w:cs="Times New Roman"/>
          <w:bCs/>
          <w:iCs/>
          <w:sz w:val="20"/>
          <w:szCs w:val="20"/>
        </w:rPr>
      </w:pPr>
    </w:p>
    <w:p w14:paraId="018B896C" w14:textId="107A82AA" w:rsidR="006B6F79" w:rsidRPr="00CC3FFF" w:rsidRDefault="00CC19D1" w:rsidP="006B6F79">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006B6F79" w:rsidRPr="00CC3FFF">
        <w:rPr>
          <w:rFonts w:ascii="Times New Roman" w:hAnsi="Times New Roman" w:cs="Times New Roman"/>
          <w:bCs/>
          <w:iCs/>
          <w:sz w:val="20"/>
          <w:szCs w:val="20"/>
        </w:rPr>
        <w:t>Dep</w:t>
      </w:r>
      <w:r w:rsidRPr="00CC3FFF">
        <w:rPr>
          <w:rFonts w:ascii="Times New Roman" w:hAnsi="Times New Roman" w:cs="Times New Roman"/>
          <w:bCs/>
          <w:iCs/>
          <w:sz w:val="20"/>
          <w:szCs w:val="20"/>
        </w:rPr>
        <w:t>artmen</w:t>
      </w:r>
      <w:r w:rsidR="006B6F79" w:rsidRPr="00CC3FFF">
        <w:rPr>
          <w:rFonts w:ascii="Times New Roman" w:hAnsi="Times New Roman" w:cs="Times New Roman"/>
          <w:bCs/>
          <w:iCs/>
          <w:sz w:val="20"/>
          <w:szCs w:val="20"/>
        </w:rPr>
        <w:t>t of Cytophysiology, Chair of Histology and Embryology, Faculty of Medical Sciences in Katowice, Medical University of Silesia</w:t>
      </w:r>
      <w:r w:rsidR="00A96E70" w:rsidRPr="00CC3FFF">
        <w:rPr>
          <w:rFonts w:ascii="Times New Roman" w:hAnsi="Times New Roman" w:cs="Times New Roman"/>
          <w:bCs/>
          <w:iCs/>
          <w:sz w:val="20"/>
          <w:szCs w:val="20"/>
        </w:rPr>
        <w:t>, Katowice, Poland</w:t>
      </w:r>
    </w:p>
    <w:p w14:paraId="04C3A845" w14:textId="2B629F71" w:rsidR="00BB3D1E" w:rsidRPr="00CC3FFF" w:rsidRDefault="00BB3D1E" w:rsidP="00BB3D1E">
      <w:pPr>
        <w:adjustRightInd w:val="0"/>
        <w:snapToGrid w:val="0"/>
        <w:spacing w:line="260" w:lineRule="atLeast"/>
        <w:rPr>
          <w:rFonts w:ascii="Times New Roman" w:hAnsi="Times New Roman" w:cs="Times New Roman"/>
          <w:bCs/>
          <w:iCs/>
          <w:sz w:val="20"/>
          <w:szCs w:val="20"/>
        </w:rPr>
      </w:pPr>
    </w:p>
    <w:p w14:paraId="25E18201" w14:textId="19618E60" w:rsidR="006B6F79" w:rsidRPr="00CC3FFF" w:rsidRDefault="006B6F79" w:rsidP="006B6F79">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The aim of this study was to evaluate whether non-parenchymal liver cells – specifically hepatic stellate cells (HSCs) and Kupffer cells (KCs) – undergo phenotypic modulation when cultured in standard hepatocyte medium (Williams’ E) and/or with the addition of interleukin-13 (IL-13) in in vitro inflammatory model. These conditions were assessed in both monocultures and co-cultures. The</w:t>
      </w:r>
    </w:p>
    <w:p w14:paraId="574519AF" w14:textId="77777777" w:rsidR="006B6F79" w:rsidRPr="00CC3FFF" w:rsidRDefault="006B6F79" w:rsidP="006B6F79">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research results are intended to facilitate the development of a dynamic in vitro model for studying liver fibrosis.</w:t>
      </w:r>
    </w:p>
    <w:p w14:paraId="74941F27" w14:textId="2AFA6FC2" w:rsidR="006B6F79" w:rsidRPr="00CC3FFF" w:rsidRDefault="006B6F79" w:rsidP="006B6F79">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HSCs and KCs were initially cultured in specialized media in 24-well plates. In monocultures, seeding densities were 10,000 cells/cm² for KCs and 100,000 cells/cm² for HSCs. For co-cultures, cells were seeded at a 1:1 ratio with a total density of 100,000 cells/cm² using a 1:1 mixture of their respective specialized media. Upon reaching 80% confluency, the media were replaced with standard hepatocyte culture medium (Williams’ E supplemented with Fetal Bovine Serum and Antibiotic-</w:t>
      </w:r>
      <w:r w:rsidRPr="00CC3FFF">
        <w:rPr>
          <w:rFonts w:ascii="Times New Roman" w:hAnsi="Times New Roman" w:cs="Times New Roman"/>
          <w:bCs/>
          <w:iCs/>
          <w:sz w:val="20"/>
          <w:szCs w:val="20"/>
        </w:rPr>
        <w:lastRenderedPageBreak/>
        <w:t>Antimycotic) containing IL-13 at concentrations of 0, 5, 10, or 50 ng/ml. After 72 hours, cells were harvested and analyzed via flow cytometry. Similar cell lines and culture conditions were also applied in a dynamic bioreactor monocultures and co-cultures, with peristaltic flow set to 180</w:t>
      </w:r>
      <w:r w:rsidR="005C0B02">
        <w:rPr>
          <w:rFonts w:ascii="Times New Roman" w:hAnsi="Times New Roman" w:cs="Times New Roman"/>
          <w:bCs/>
          <w:iCs/>
          <w:sz w:val="20"/>
          <w:szCs w:val="20"/>
        </w:rPr>
        <w:t xml:space="preserve"> </w:t>
      </w:r>
      <w:r w:rsidRPr="00CC3FFF">
        <w:rPr>
          <w:rFonts w:ascii="Times New Roman" w:hAnsi="Times New Roman" w:cs="Times New Roman"/>
          <w:bCs/>
          <w:iCs/>
          <w:sz w:val="20"/>
          <w:szCs w:val="20"/>
        </w:rPr>
        <w:t>µL/min. Results were compared against baseline data from freshly thawed cells.</w:t>
      </w:r>
    </w:p>
    <w:p w14:paraId="3E16A128" w14:textId="5A47455F" w:rsidR="006B6F79" w:rsidRPr="00CC3FFF" w:rsidRDefault="006B6F79" w:rsidP="006B6F79">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The analysis demonstrated that the expression of key phenotypic markers – α-SMA for stellate cells and CD68 for Kupffer cells–remained stable despite the transition to Williams’ E medium. The effect of medium with IL-13 on cell phenotype in both monocultures and co-cultures was also assessed.</w:t>
      </w:r>
    </w:p>
    <w:p w14:paraId="5145E7F1" w14:textId="5ECB3549" w:rsidR="006B6F79" w:rsidRPr="00CC3FFF" w:rsidRDefault="006B6F79" w:rsidP="006B6F79">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These results seem to indicate that neither standard hepatocyte medium nor the addition of IL-13 (simulating an inflammatory environment) significantly affects the phenotypic stability of HSCs and KCs. As a result, this experimental setup provides a robust framework for building a multi-population in vitro model for studying liver fibrosis.</w:t>
      </w:r>
    </w:p>
    <w:p w14:paraId="01DFE158" w14:textId="77777777" w:rsidR="006B6F79" w:rsidRPr="00CC3FFF" w:rsidRDefault="006B6F79" w:rsidP="006B6F79">
      <w:pPr>
        <w:adjustRightInd w:val="0"/>
        <w:snapToGrid w:val="0"/>
        <w:spacing w:line="260" w:lineRule="atLeast"/>
        <w:rPr>
          <w:rFonts w:ascii="Times New Roman" w:hAnsi="Times New Roman" w:cs="Times New Roman"/>
          <w:bCs/>
          <w:iCs/>
          <w:sz w:val="20"/>
          <w:szCs w:val="20"/>
        </w:rPr>
      </w:pPr>
    </w:p>
    <w:p w14:paraId="04D4A9D1" w14:textId="77777777" w:rsidR="006B6F79" w:rsidRPr="00CC3FFF" w:rsidRDefault="006B6F79" w:rsidP="006B6F79">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This research was funded by European Funds, grant number NWD/2457/2024 and Metropolitan Support Fund, grant number RW/22/2025.</w:t>
      </w:r>
    </w:p>
    <w:p w14:paraId="7EE6FFD1" w14:textId="37A6F557" w:rsidR="00A22007" w:rsidRPr="00CC3FFF" w:rsidRDefault="00A22007" w:rsidP="006B6F79">
      <w:pPr>
        <w:adjustRightInd w:val="0"/>
        <w:snapToGrid w:val="0"/>
        <w:spacing w:line="260" w:lineRule="atLeast"/>
        <w:jc w:val="center"/>
        <w:rPr>
          <w:rFonts w:ascii="Times New Roman" w:hAnsi="Times New Roman" w:cs="Times New Roman"/>
          <w:bCs/>
          <w:iCs/>
          <w:sz w:val="20"/>
          <w:szCs w:val="20"/>
        </w:rPr>
      </w:pPr>
    </w:p>
    <w:p w14:paraId="7B555E4E" w14:textId="77777777" w:rsidR="00276498" w:rsidRPr="00CC3FFF" w:rsidRDefault="001604DA" w:rsidP="00A22007">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36. </w:t>
      </w:r>
      <w:r w:rsidR="00276498" w:rsidRPr="00CC3FFF">
        <w:rPr>
          <w:rFonts w:ascii="Times New Roman" w:hAnsi="Times New Roman" w:cs="Times New Roman"/>
          <w:b/>
          <w:bCs/>
          <w:iCs/>
          <w:caps/>
          <w:sz w:val="20"/>
          <w:szCs w:val="20"/>
        </w:rPr>
        <w:t>Modelling CLCN7-associated osteopetrosis: iPSC/iMSC-based approach and PBMC-derived osteoclast differentiation in patient and control</w:t>
      </w:r>
    </w:p>
    <w:p w14:paraId="4E6BC1CD" w14:textId="77777777" w:rsidR="00276498" w:rsidRPr="00CC3FFF" w:rsidRDefault="00276498" w:rsidP="00A22007">
      <w:pPr>
        <w:adjustRightInd w:val="0"/>
        <w:snapToGrid w:val="0"/>
        <w:spacing w:line="260" w:lineRule="atLeast"/>
        <w:rPr>
          <w:rFonts w:ascii="Times New Roman" w:hAnsi="Times New Roman" w:cs="Times New Roman"/>
          <w:b/>
          <w:bCs/>
          <w:iCs/>
          <w:caps/>
          <w:sz w:val="20"/>
          <w:szCs w:val="20"/>
        </w:rPr>
      </w:pPr>
    </w:p>
    <w:p w14:paraId="72C20F89" w14:textId="3AA28F52" w:rsidR="00276498" w:rsidRPr="00CC3FFF" w:rsidRDefault="00276498" w:rsidP="00276498">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A. Minoia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Gandini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M. Braggio</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C. Marchetti, M. De Paulis</w:t>
      </w:r>
      <w:r w:rsidRPr="00CC3FFF">
        <w:rPr>
          <w:rFonts w:ascii="Times New Roman" w:hAnsi="Times New Roman" w:cs="Times New Roman"/>
          <w:bCs/>
          <w:iCs/>
          <w:sz w:val="20"/>
          <w:szCs w:val="20"/>
          <w:vertAlign w:val="superscript"/>
          <w:lang w:val="it-IT"/>
        </w:rPr>
        <w:t>4,5</w:t>
      </w:r>
      <w:r w:rsidRPr="00CC3FFF">
        <w:rPr>
          <w:rFonts w:ascii="Times New Roman" w:hAnsi="Times New Roman" w:cs="Times New Roman"/>
          <w:bCs/>
          <w:iCs/>
          <w:sz w:val="20"/>
          <w:szCs w:val="20"/>
          <w:lang w:val="it-IT"/>
        </w:rPr>
        <w:t>, F. Antoniazzi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L. Dalle Carbonare</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T. Valenti</w:t>
      </w:r>
      <w:r w:rsidRPr="00CC3FFF">
        <w:rPr>
          <w:rFonts w:ascii="Times New Roman" w:hAnsi="Times New Roman" w:cs="Times New Roman"/>
          <w:bCs/>
          <w:iCs/>
          <w:sz w:val="20"/>
          <w:szCs w:val="20"/>
          <w:vertAlign w:val="superscript"/>
          <w:lang w:val="it-IT"/>
        </w:rPr>
        <w:t>3</w:t>
      </w:r>
    </w:p>
    <w:p w14:paraId="083E6DD2" w14:textId="77777777" w:rsidR="00276498" w:rsidRPr="00CC3FFF" w:rsidRDefault="00276498" w:rsidP="00276498">
      <w:pPr>
        <w:adjustRightInd w:val="0"/>
        <w:snapToGrid w:val="0"/>
        <w:spacing w:line="260" w:lineRule="atLeast"/>
        <w:rPr>
          <w:rFonts w:ascii="Times New Roman" w:hAnsi="Times New Roman" w:cs="Times New Roman"/>
          <w:bCs/>
          <w:iCs/>
          <w:sz w:val="20"/>
          <w:szCs w:val="20"/>
          <w:lang w:val="it-IT"/>
        </w:rPr>
      </w:pPr>
    </w:p>
    <w:p w14:paraId="7F153C14" w14:textId="72D5814F" w:rsidR="00276498" w:rsidRPr="00CC3FFF" w:rsidRDefault="00276498" w:rsidP="0027649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w:t>
      </w:r>
      <w:r w:rsidR="00A96E70"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Engineering for Innovation Medicine</w:t>
      </w:r>
      <w:r w:rsidR="006979C3" w:rsidRPr="00CC3FFF">
        <w:rPr>
          <w:rFonts w:ascii="Times New Roman" w:hAnsi="Times New Roman" w:cs="Times New Roman"/>
          <w:bCs/>
          <w:iCs/>
          <w:sz w:val="20"/>
          <w:szCs w:val="20"/>
        </w:rPr>
        <w:t>, Verona, Italy</w:t>
      </w:r>
    </w:p>
    <w:p w14:paraId="6CAECBFD" w14:textId="4F1FD426" w:rsidR="00276498" w:rsidRPr="00CC3FFF" w:rsidRDefault="00276498" w:rsidP="0027649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A96E70"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Surgical, Stomatological and Mother-Child Sciences</w:t>
      </w:r>
      <w:r w:rsidR="006979C3" w:rsidRPr="00CC3FFF">
        <w:rPr>
          <w:rFonts w:ascii="Times New Roman" w:hAnsi="Times New Roman" w:cs="Times New Roman"/>
          <w:bCs/>
          <w:iCs/>
          <w:sz w:val="20"/>
          <w:szCs w:val="20"/>
        </w:rPr>
        <w:t>, Verona, Italy</w:t>
      </w:r>
    </w:p>
    <w:p w14:paraId="0E4DC0A6" w14:textId="67EFF96D" w:rsidR="006979C3" w:rsidRPr="00CC3FFF" w:rsidRDefault="00276498" w:rsidP="0027649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Dep</w:t>
      </w:r>
      <w:r w:rsidR="00A96E70"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Applied Sciences for Life and Health</w:t>
      </w:r>
      <w:r w:rsidR="006979C3" w:rsidRPr="00CC3FFF">
        <w:rPr>
          <w:rFonts w:ascii="Times New Roman" w:hAnsi="Times New Roman" w:cs="Times New Roman"/>
          <w:bCs/>
          <w:iCs/>
          <w:sz w:val="20"/>
          <w:szCs w:val="20"/>
        </w:rPr>
        <w:t>, Verona, Italy</w:t>
      </w:r>
    </w:p>
    <w:p w14:paraId="6918370B" w14:textId="1F1BF333" w:rsidR="00A96E70" w:rsidRPr="00CC3FFF" w:rsidRDefault="00276498" w:rsidP="0027649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National Research Council (CNR) IRGB UOS Milan</w:t>
      </w:r>
      <w:r w:rsidR="00A96E70" w:rsidRPr="00CC3FFF">
        <w:rPr>
          <w:rFonts w:ascii="Times New Roman" w:hAnsi="Times New Roman" w:cs="Times New Roman"/>
          <w:bCs/>
          <w:iCs/>
          <w:sz w:val="20"/>
          <w:szCs w:val="20"/>
        </w:rPr>
        <w:t>, Milan, Italy</w:t>
      </w:r>
    </w:p>
    <w:p w14:paraId="08D4AB84" w14:textId="00644406" w:rsidR="00276498" w:rsidRPr="00CC3FFF" w:rsidRDefault="00276498" w:rsidP="0027649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5</w:t>
      </w:r>
      <w:r w:rsidRPr="00CC3FFF">
        <w:rPr>
          <w:rFonts w:ascii="Times New Roman" w:hAnsi="Times New Roman" w:cs="Times New Roman"/>
          <w:bCs/>
          <w:iCs/>
          <w:sz w:val="20"/>
          <w:szCs w:val="20"/>
        </w:rPr>
        <w:t>Humanitas Clinical Research Center</w:t>
      </w:r>
      <w:r w:rsidR="006979C3" w:rsidRPr="00CC3FFF">
        <w:rPr>
          <w:rFonts w:ascii="Times New Roman" w:hAnsi="Times New Roman" w:cs="Times New Roman"/>
          <w:bCs/>
          <w:iCs/>
          <w:sz w:val="20"/>
          <w:szCs w:val="20"/>
        </w:rPr>
        <w:t>, Rozzano, Italy</w:t>
      </w:r>
    </w:p>
    <w:p w14:paraId="0757032F" w14:textId="77777777" w:rsidR="00A22007" w:rsidRPr="00CC3FFF" w:rsidRDefault="00A22007" w:rsidP="00A22007">
      <w:pPr>
        <w:adjustRightInd w:val="0"/>
        <w:snapToGrid w:val="0"/>
        <w:spacing w:line="260" w:lineRule="atLeast"/>
        <w:rPr>
          <w:rFonts w:ascii="Times New Roman" w:hAnsi="Times New Roman" w:cs="Times New Roman"/>
          <w:bCs/>
          <w:iCs/>
          <w:caps/>
          <w:sz w:val="20"/>
          <w:szCs w:val="20"/>
        </w:rPr>
      </w:pPr>
    </w:p>
    <w:p w14:paraId="30B07B61" w14:textId="36B7C6DC" w:rsidR="00276498" w:rsidRPr="00CC3FFF" w:rsidRDefault="00276498" w:rsidP="0027649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Osteopetrosis is a rare group of genetic skeletal disorders characterized by the accumulation of abnormally dense and brittle bone. The CLCN7 gene encodes ClC-7 protein, a chloride/proton antiporter, that localizes to the ruffled border of osteoclasts, fundamental in lysosomal acidification and osteoclast-mediated bone resorption.</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The study aimed to develop patient-specific cellular models to investigate the molecular mechanisms of CLCN7 mutations responsible for osteopetrosis.</w:t>
      </w:r>
    </w:p>
    <w:p w14:paraId="4F1FDA6B" w14:textId="0AB9A832" w:rsidR="00276498" w:rsidRPr="00CC3FFF" w:rsidRDefault="00276498" w:rsidP="00276498">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Materiald and Methods: </w:t>
      </w:r>
      <w:r w:rsidRPr="00CC3FFF">
        <w:rPr>
          <w:rFonts w:ascii="Times New Roman" w:hAnsi="Times New Roman" w:cs="Times New Roman"/>
          <w:bCs/>
          <w:iCs/>
          <w:sz w:val="20"/>
          <w:szCs w:val="20"/>
        </w:rPr>
        <w:t>We established patient-specific cellular models to investigate the impact of CLCN7 mutations and to elucidate the molecular basis of CLCN7-related osteopetrosis. Osteoclasts were generated from PBMCs, and in parallel PBMCs were reprogrammed into iPSCs, that subsequently differentiate into iMSCs.</w:t>
      </w:r>
    </w:p>
    <w:p w14:paraId="51D34E48" w14:textId="250BC64E" w:rsidR="00276498" w:rsidRPr="00CC3FFF" w:rsidRDefault="00276498" w:rsidP="00276498">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PBMCs carrying CLCN7 mutations exhibited significantly higher expression of RANKL, RANK, and CTSK compared to controls. We obtained fully mature osteoclasts derived from PBMCs for CTRL line while the CLCN7-mutated line presents fused osteoclasts aggregates. We validated iPSCs for both</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populations, and iMSCs were derived from them. iMSC-derived from iPSCs exhibited the characteristic mesenchymal surface markers and retained the ability to differentiate into adipocytes, chondrocytes, and osteoblasts confirming their multipotent differentiation capacity. We analysed the master gene of each specific differentiation commitment and observed a significant reduction of PPARG in CLCN7 line while SOX9 was highly expressed, instead of its protein levels were reduced. RUNX2, SP7 and COL1A1 showed an increase in protein level, while TGBF1 levels, which is associated with an impairment of lysosomal integrity, leading to the dysregulation of the autophagic pathway, was lower.</w:t>
      </w:r>
    </w:p>
    <w:p w14:paraId="6967BB8D" w14:textId="2D61F56A" w:rsidR="00276498" w:rsidRPr="00CC3FFF" w:rsidRDefault="00276498" w:rsidP="00276498">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 xml:space="preserve">In our study we generated stable cellular systems for in vitro modelling of osteopetrosis. CLCN7 mutations lead to a general impairment of final cellular maturation. The dysregulation cause by CLCN7-mutations is confirmed by an altered commitment of the mesenchymal stem, toward adipocytic, chondrocytes and osteogenic lineages. Our work suggests new ways to investigate in vitro rare diseases, without the involvement of </w:t>
      </w:r>
      <w:r w:rsidRPr="00CC3FFF">
        <w:rPr>
          <w:rFonts w:ascii="Times New Roman" w:hAnsi="Times New Roman" w:cs="Times New Roman"/>
          <w:bCs/>
          <w:i/>
          <w:iCs/>
          <w:sz w:val="20"/>
          <w:szCs w:val="20"/>
        </w:rPr>
        <w:t>in vivo</w:t>
      </w:r>
      <w:r w:rsidRPr="00CC3FFF">
        <w:rPr>
          <w:rFonts w:ascii="Times New Roman" w:hAnsi="Times New Roman" w:cs="Times New Roman"/>
          <w:bCs/>
          <w:iCs/>
          <w:sz w:val="20"/>
          <w:szCs w:val="20"/>
        </w:rPr>
        <w:t xml:space="preserve"> models.</w:t>
      </w:r>
    </w:p>
    <w:p w14:paraId="407D2760" w14:textId="77777777" w:rsidR="00276498" w:rsidRPr="00CC3FFF" w:rsidRDefault="00276498" w:rsidP="00276498">
      <w:pPr>
        <w:adjustRightInd w:val="0"/>
        <w:snapToGrid w:val="0"/>
        <w:spacing w:line="260" w:lineRule="atLeast"/>
        <w:rPr>
          <w:rFonts w:ascii="Times New Roman" w:hAnsi="Times New Roman" w:cs="Times New Roman"/>
          <w:bCs/>
          <w:iCs/>
          <w:caps/>
          <w:sz w:val="20"/>
          <w:szCs w:val="20"/>
        </w:rPr>
      </w:pPr>
    </w:p>
    <w:p w14:paraId="10D5A24D" w14:textId="178F33A6" w:rsidR="00176E7D" w:rsidRPr="00CC3FFF" w:rsidRDefault="001604DA" w:rsidP="00185909">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37. </w:t>
      </w:r>
      <w:r w:rsidR="00176E7D" w:rsidRPr="00CC3FFF">
        <w:rPr>
          <w:rFonts w:ascii="Times New Roman" w:hAnsi="Times New Roman" w:cs="Times New Roman"/>
          <w:b/>
          <w:bCs/>
          <w:iCs/>
          <w:caps/>
          <w:sz w:val="20"/>
          <w:szCs w:val="20"/>
        </w:rPr>
        <w:t xml:space="preserve">Effect of the microenvironment on lyo-secretome from </w:t>
      </w:r>
      <w:r w:rsidR="00176E7D" w:rsidRPr="00CC3FFF">
        <w:rPr>
          <w:rFonts w:ascii="Times New Roman" w:hAnsi="Times New Roman" w:cs="Times New Roman"/>
          <w:b/>
          <w:bCs/>
          <w:iCs/>
          <w:caps/>
          <w:sz w:val="20"/>
          <w:szCs w:val="20"/>
        </w:rPr>
        <w:lastRenderedPageBreak/>
        <w:t>mesenchymal stromal cells: extensive characterization and in vitro biological activity</w:t>
      </w:r>
    </w:p>
    <w:p w14:paraId="7A3A4367" w14:textId="77777777" w:rsidR="00176E7D" w:rsidRPr="00CC3FFF" w:rsidRDefault="00176E7D" w:rsidP="00185909">
      <w:pPr>
        <w:adjustRightInd w:val="0"/>
        <w:snapToGrid w:val="0"/>
        <w:spacing w:line="260" w:lineRule="atLeast"/>
        <w:rPr>
          <w:rFonts w:ascii="Times New Roman" w:hAnsi="Times New Roman" w:cs="Times New Roman"/>
          <w:b/>
          <w:bCs/>
          <w:iCs/>
          <w:caps/>
          <w:sz w:val="20"/>
          <w:szCs w:val="20"/>
        </w:rPr>
      </w:pPr>
    </w:p>
    <w:p w14:paraId="3D22320C" w14:textId="2C75D28C" w:rsidR="00176E7D" w:rsidRPr="00CC3FFF" w:rsidRDefault="00176E7D" w:rsidP="00176E7D">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A. Modena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 Bari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C. Catozzi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F. Ricci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C. Moscheni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S. Turi</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R. Rossi</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D. Di Silvestre</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G. Villetti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M.L. Torre</w:t>
      </w:r>
      <w:r w:rsidRPr="00CC3FFF">
        <w:rPr>
          <w:rFonts w:ascii="Times New Roman" w:hAnsi="Times New Roman" w:cs="Times New Roman"/>
          <w:bCs/>
          <w:iCs/>
          <w:sz w:val="20"/>
          <w:szCs w:val="20"/>
          <w:vertAlign w:val="superscript"/>
          <w:lang w:val="it-IT"/>
        </w:rPr>
        <w:t>1,5</w:t>
      </w:r>
    </w:p>
    <w:p w14:paraId="00B61F0F" w14:textId="77777777" w:rsidR="00176E7D" w:rsidRPr="00CC3FFF" w:rsidRDefault="00176E7D" w:rsidP="00176E7D">
      <w:pPr>
        <w:adjustRightInd w:val="0"/>
        <w:snapToGrid w:val="0"/>
        <w:spacing w:line="260" w:lineRule="atLeast"/>
        <w:rPr>
          <w:rFonts w:ascii="Times New Roman" w:hAnsi="Times New Roman" w:cs="Times New Roman"/>
          <w:bCs/>
          <w:iCs/>
          <w:sz w:val="20"/>
          <w:szCs w:val="20"/>
          <w:lang w:val="it-IT"/>
        </w:rPr>
      </w:pPr>
    </w:p>
    <w:p w14:paraId="0B0445F0" w14:textId="353CFA68" w:rsidR="00176E7D" w:rsidRPr="00CC3FFF" w:rsidRDefault="00176E7D" w:rsidP="00176E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xml:space="preserve">University of Piemonte Orientale,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Pharmaceutical Sciences, Novara</w:t>
      </w:r>
      <w:r w:rsidR="006979C3" w:rsidRPr="00CC3FFF">
        <w:rPr>
          <w:rFonts w:ascii="Times New Roman" w:hAnsi="Times New Roman" w:cs="Times New Roman"/>
          <w:bCs/>
          <w:iCs/>
          <w:sz w:val="20"/>
          <w:szCs w:val="20"/>
        </w:rPr>
        <w:t>, Italy</w:t>
      </w:r>
    </w:p>
    <w:p w14:paraId="3DFBAF4D" w14:textId="040386D6" w:rsidR="00176E7D" w:rsidRPr="00CC3FFF" w:rsidRDefault="00176E7D" w:rsidP="00176E7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xml:space="preserve">Chiesi Farmaceutici, R&amp;D </w:t>
      </w:r>
      <w:r w:rsidR="00AC5CDC">
        <w:rPr>
          <w:rFonts w:ascii="Times New Roman" w:hAnsi="Times New Roman" w:cs="Times New Roman"/>
          <w:bCs/>
          <w:iCs/>
          <w:sz w:val="20"/>
          <w:szCs w:val="20"/>
          <w:lang w:val="it-IT"/>
        </w:rPr>
        <w:t>Department</w:t>
      </w:r>
      <w:r w:rsidRPr="00CC3FFF">
        <w:rPr>
          <w:rFonts w:ascii="Times New Roman" w:hAnsi="Times New Roman" w:cs="Times New Roman"/>
          <w:bCs/>
          <w:iCs/>
          <w:sz w:val="20"/>
          <w:szCs w:val="20"/>
          <w:lang w:val="it-IT"/>
        </w:rPr>
        <w:t>, Parma</w:t>
      </w:r>
      <w:r w:rsidR="006979C3" w:rsidRPr="00CC3FFF">
        <w:rPr>
          <w:rFonts w:ascii="Times New Roman" w:hAnsi="Times New Roman" w:cs="Times New Roman"/>
          <w:bCs/>
          <w:iCs/>
          <w:sz w:val="20"/>
          <w:szCs w:val="20"/>
          <w:lang w:val="it-IT"/>
        </w:rPr>
        <w:t>, Italy</w:t>
      </w:r>
    </w:p>
    <w:p w14:paraId="098C7EAE" w14:textId="583814CF" w:rsidR="006979C3" w:rsidRPr="00CC3FFF" w:rsidRDefault="00176E7D" w:rsidP="00176E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 xml:space="preserve">University of Milan,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Biomedical and Clinical Sciences, Milan</w:t>
      </w:r>
      <w:r w:rsidR="006979C3" w:rsidRPr="00CC3FFF">
        <w:rPr>
          <w:rFonts w:ascii="Times New Roman" w:hAnsi="Times New Roman" w:cs="Times New Roman"/>
          <w:bCs/>
          <w:iCs/>
          <w:sz w:val="20"/>
          <w:szCs w:val="20"/>
        </w:rPr>
        <w:t>, Italy</w:t>
      </w:r>
    </w:p>
    <w:p w14:paraId="2EC8FC7E" w14:textId="6BA1A065" w:rsidR="006979C3" w:rsidRPr="00CC3FFF" w:rsidRDefault="00176E7D" w:rsidP="00176E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Institute for Biomedical Technologies, National Research Council, Segrate</w:t>
      </w:r>
      <w:r w:rsidR="006979C3" w:rsidRPr="00CC3FFF">
        <w:rPr>
          <w:rFonts w:ascii="Times New Roman" w:hAnsi="Times New Roman" w:cs="Times New Roman"/>
          <w:bCs/>
          <w:iCs/>
          <w:sz w:val="20"/>
          <w:szCs w:val="20"/>
        </w:rPr>
        <w:t>, Italy</w:t>
      </w:r>
    </w:p>
    <w:p w14:paraId="7B80EFC4" w14:textId="70B026FB" w:rsidR="00176E7D" w:rsidRPr="00CC3FFF" w:rsidRDefault="00176E7D" w:rsidP="00176E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5</w:t>
      </w:r>
      <w:r w:rsidRPr="00CC3FFF">
        <w:rPr>
          <w:rFonts w:ascii="Times New Roman" w:hAnsi="Times New Roman" w:cs="Times New Roman"/>
          <w:bCs/>
          <w:iCs/>
          <w:sz w:val="20"/>
          <w:szCs w:val="20"/>
        </w:rPr>
        <w:t>PharmaExceed srl, Pavia</w:t>
      </w:r>
      <w:r w:rsidR="006979C3" w:rsidRPr="00CC3FFF">
        <w:rPr>
          <w:rFonts w:ascii="Times New Roman" w:hAnsi="Times New Roman" w:cs="Times New Roman"/>
          <w:bCs/>
          <w:iCs/>
          <w:sz w:val="20"/>
          <w:szCs w:val="20"/>
        </w:rPr>
        <w:t>, Italy</w:t>
      </w:r>
    </w:p>
    <w:p w14:paraId="1704888E" w14:textId="77777777" w:rsidR="00185909" w:rsidRPr="00CC3FFF" w:rsidRDefault="00185909" w:rsidP="00185909">
      <w:pPr>
        <w:adjustRightInd w:val="0"/>
        <w:snapToGrid w:val="0"/>
        <w:spacing w:line="260" w:lineRule="atLeast"/>
        <w:rPr>
          <w:rFonts w:ascii="Times New Roman" w:hAnsi="Times New Roman" w:cs="Times New Roman"/>
          <w:bCs/>
          <w:iCs/>
          <w:sz w:val="20"/>
          <w:szCs w:val="20"/>
        </w:rPr>
      </w:pPr>
    </w:p>
    <w:p w14:paraId="680E5714" w14:textId="1C7E89C7" w:rsidR="00176E7D" w:rsidRPr="00CC3FFF" w:rsidRDefault="00176E7D" w:rsidP="00176E7D">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This study aims to act on the microenvironment to “educate” mesenchymal stem cells (MSCs) to produce a secretome with biological activity optimized to treat chronic and degenerative lung diseases. Serum starvation, inflammatory stimulus by IL-1b, and hypoxia (5% O</w:t>
      </w:r>
      <w:r w:rsidRPr="005C0B02">
        <w:rPr>
          <w:rFonts w:ascii="Times New Roman" w:hAnsi="Times New Roman" w:cs="Times New Roman"/>
          <w:bCs/>
          <w:iCs/>
          <w:sz w:val="20"/>
          <w:szCs w:val="20"/>
          <w:vertAlign w:val="subscript"/>
        </w:rPr>
        <w:t>2</w:t>
      </w:r>
      <w:r w:rsidRPr="00CC3FFF">
        <w:rPr>
          <w:rFonts w:ascii="Times New Roman" w:hAnsi="Times New Roman" w:cs="Times New Roman"/>
          <w:bCs/>
          <w:iCs/>
          <w:sz w:val="20"/>
          <w:szCs w:val="20"/>
        </w:rPr>
        <w:t>) were selected as variables to modulate secretome properties.</w:t>
      </w:r>
    </w:p>
    <w:p w14:paraId="2C476AFE" w14:textId="6DA89432" w:rsidR="00176E7D" w:rsidRPr="00CC3FFF" w:rsidRDefault="00176E7D" w:rsidP="00176E7D">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Three lyo-secretome batches of each condition were produced from human adipose-derived MSCs. Cells were cultured at 37 °C and 5% CO</w:t>
      </w:r>
      <w:r w:rsidRPr="005C0B02">
        <w:rPr>
          <w:rFonts w:ascii="Times New Roman" w:hAnsi="Times New Roman" w:cs="Times New Roman"/>
          <w:bCs/>
          <w:iCs/>
          <w:sz w:val="20"/>
          <w:szCs w:val="20"/>
          <w:vertAlign w:val="subscript"/>
        </w:rPr>
        <w:t>2</w:t>
      </w:r>
      <w:r w:rsidRPr="00CC3FFF">
        <w:rPr>
          <w:rFonts w:ascii="Times New Roman" w:hAnsi="Times New Roman" w:cs="Times New Roman"/>
          <w:bCs/>
          <w:iCs/>
          <w:sz w:val="20"/>
          <w:szCs w:val="20"/>
        </w:rPr>
        <w:t xml:space="preserve"> until sub-confluence was reached; then secretome release was induced by serum starvation (SSer), IL-1β (10 ng/ml) + serum starvation (IL-1β + SSer), or hypoxia</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5% O2 + serum starvation (Hyp 5% O</w:t>
      </w:r>
      <w:r w:rsidRPr="005C0B02">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 xml:space="preserve"> + SSer). For each condition, the cells were grown in serum-free medium for 48 h. Secretome was purified by tangential flow filtration using the KrosFlo® Research</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2i system equipped with a 5 kDa Molecular Weight Cut-off filtration module, supplemented with cryoprotectant (mannitol 5 mg/ml), and freeze-dried, yielding lyo-secretome. During the ultrafiltration step, each batch was concentrated to 115 µg of proteins/mL.</w:t>
      </w:r>
    </w:p>
    <w:p w14:paraId="118295C9" w14:textId="77777777" w:rsidR="006D3B3B" w:rsidRDefault="00176E7D" w:rsidP="00176E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The protein content of freeze-dried EVs revealed standardized batches (22.5 ± 4.05 µg/mg of protein, n=3), while the lipid composition was higher for IL-1β + SSer (23.28 ± 8.9 µg/mg) and Hyp 5% O</w:t>
      </w:r>
      <w:r w:rsidRPr="005C0B02">
        <w:rPr>
          <w:rFonts w:ascii="Times New Roman" w:hAnsi="Times New Roman" w:cs="Times New Roman"/>
          <w:bCs/>
          <w:iCs/>
          <w:sz w:val="20"/>
          <w:szCs w:val="20"/>
          <w:vertAlign w:val="subscript"/>
        </w:rPr>
        <w:t>2</w:t>
      </w:r>
      <w:r w:rsidRPr="00CC3FFF">
        <w:rPr>
          <w:rFonts w:ascii="Times New Roman" w:hAnsi="Times New Roman" w:cs="Times New Roman"/>
          <w:bCs/>
          <w:iCs/>
          <w:sz w:val="20"/>
          <w:szCs w:val="20"/>
        </w:rPr>
        <w:t xml:space="preserve"> + SSer (20.62 ± 1.9 µg/mg) than SSer (5.56 ± 4.29 µg/mg) (p&lt;0.05, n=3). The particle size distribution of EVs showed that the d50, d90, and the mean diameter of IL-1β + SSer batches were significantly higher than Hyp 5% O</w:t>
      </w:r>
      <w:r w:rsidRPr="005C0B02">
        <w:rPr>
          <w:rFonts w:ascii="Times New Roman" w:hAnsi="Times New Roman" w:cs="Times New Roman"/>
          <w:bCs/>
          <w:iCs/>
          <w:sz w:val="20"/>
          <w:szCs w:val="20"/>
          <w:vertAlign w:val="subscript"/>
        </w:rPr>
        <w:t>2</w:t>
      </w:r>
      <w:r w:rsidRPr="00CC3FFF">
        <w:rPr>
          <w:rFonts w:ascii="Times New Roman" w:hAnsi="Times New Roman" w:cs="Times New Roman"/>
          <w:bCs/>
          <w:iCs/>
          <w:sz w:val="20"/>
          <w:szCs w:val="20"/>
        </w:rPr>
        <w:t xml:space="preserve"> + SSer and SSer-EVs. The morphology and ultrastructure, as observed by Transmission Electron Microscopy, showed that EVs were preserved at the end of ultrafiltration and freeze-drying.</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All three conditions fully inhibited elastase activity, whereas IL-1β + SSer and SSer showed higher</w:t>
      </w:r>
      <w:r w:rsidR="006D3B3B">
        <w:rPr>
          <w:rFonts w:ascii="Times New Roman" w:hAnsi="Times New Roman" w:cs="Times New Roman"/>
          <w:bCs/>
          <w:iCs/>
          <w:sz w:val="20"/>
          <w:szCs w:val="20"/>
        </w:rPr>
        <w:t xml:space="preserve"> </w:t>
      </w:r>
      <w:r w:rsidRPr="00CC3FFF">
        <w:rPr>
          <w:rFonts w:ascii="Times New Roman" w:hAnsi="Times New Roman" w:cs="Times New Roman"/>
          <w:bCs/>
          <w:iCs/>
          <w:sz w:val="20"/>
          <w:szCs w:val="20"/>
        </w:rPr>
        <w:t>anti-hyaluronidase activity at higher concentrations. Proteomics revealed the most significant pathway-related protein enrichment in IL-1β + SSer-EVs and the least in Hyp 5% O</w:t>
      </w:r>
      <w:r w:rsidRPr="005C0B02">
        <w:rPr>
          <w:rFonts w:ascii="Times New Roman" w:hAnsi="Times New Roman" w:cs="Times New Roman"/>
          <w:bCs/>
          <w:iCs/>
          <w:sz w:val="20"/>
          <w:szCs w:val="20"/>
          <w:vertAlign w:val="subscript"/>
        </w:rPr>
        <w:t>2</w:t>
      </w:r>
      <w:r w:rsidRPr="00CC3FFF">
        <w:rPr>
          <w:rFonts w:ascii="Times New Roman" w:hAnsi="Times New Roman" w:cs="Times New Roman"/>
          <w:bCs/>
          <w:iCs/>
          <w:sz w:val="20"/>
          <w:szCs w:val="20"/>
        </w:rPr>
        <w:t xml:space="preserve"> + SSer. At 1.5 mg/mL, Hyp 5% O</w:t>
      </w:r>
      <w:r w:rsidRPr="005C0B02">
        <w:rPr>
          <w:rFonts w:ascii="Times New Roman" w:hAnsi="Times New Roman" w:cs="Times New Roman"/>
          <w:bCs/>
          <w:iCs/>
          <w:sz w:val="20"/>
          <w:szCs w:val="20"/>
          <w:vertAlign w:val="subscript"/>
        </w:rPr>
        <w:t>2</w:t>
      </w:r>
      <w:r w:rsidRPr="00CC3FFF">
        <w:rPr>
          <w:rFonts w:ascii="Times New Roman" w:hAnsi="Times New Roman" w:cs="Times New Roman"/>
          <w:bCs/>
          <w:iCs/>
          <w:sz w:val="20"/>
          <w:szCs w:val="20"/>
        </w:rPr>
        <w:t xml:space="preserve"> + SSer-EVs showed the highest alveolar epithelial cell viability (95%), followed by SSer (79%) and IL-1β + SSer (63%). SSer-EVs demonstrated superior wound healing properties and angiogenic activity in vitro.</w:t>
      </w:r>
    </w:p>
    <w:p w14:paraId="6E4BEFDB" w14:textId="71E24BCB" w:rsidR="00176E7D" w:rsidRPr="00CC3FFF" w:rsidRDefault="00176E7D" w:rsidP="00176E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Based on the results obtained, SSer-EVs appear to be the most promising condition for both ex vivo and in vivo evaluations of chronic and degenerative lung disease.</w:t>
      </w:r>
    </w:p>
    <w:p w14:paraId="2DFBEE3C" w14:textId="77777777" w:rsidR="00176E7D" w:rsidRPr="00CC3FFF" w:rsidRDefault="00176E7D" w:rsidP="00176E7D">
      <w:pPr>
        <w:adjustRightInd w:val="0"/>
        <w:snapToGrid w:val="0"/>
        <w:spacing w:line="260" w:lineRule="atLeast"/>
        <w:rPr>
          <w:rFonts w:ascii="Times New Roman" w:hAnsi="Times New Roman" w:cs="Times New Roman"/>
          <w:bCs/>
          <w:iCs/>
          <w:sz w:val="20"/>
          <w:szCs w:val="20"/>
        </w:rPr>
      </w:pPr>
    </w:p>
    <w:p w14:paraId="231054D6" w14:textId="21BE7655" w:rsidR="00185909" w:rsidRPr="00CC3FFF" w:rsidRDefault="001604DA" w:rsidP="00176E7D">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
          <w:bCs/>
          <w:iCs/>
          <w:sz w:val="20"/>
          <w:szCs w:val="20"/>
        </w:rPr>
        <w:t xml:space="preserve">38. </w:t>
      </w:r>
      <w:r w:rsidR="00176E7D" w:rsidRPr="00CC3FFF">
        <w:rPr>
          <w:rFonts w:ascii="Times New Roman" w:hAnsi="Times New Roman" w:cs="Times New Roman"/>
          <w:b/>
          <w:bCs/>
          <w:iCs/>
          <w:caps/>
          <w:sz w:val="20"/>
          <w:szCs w:val="20"/>
        </w:rPr>
        <w:t>A lung organoid model to study oxidative stress and inflammation in pulmonary diseases</w:t>
      </w:r>
    </w:p>
    <w:p w14:paraId="44934D44" w14:textId="77777777" w:rsidR="00185909" w:rsidRPr="00CC3FFF" w:rsidRDefault="00185909" w:rsidP="00185909">
      <w:pPr>
        <w:adjustRightInd w:val="0"/>
        <w:snapToGrid w:val="0"/>
        <w:spacing w:line="260" w:lineRule="atLeast"/>
        <w:rPr>
          <w:rFonts w:ascii="Times New Roman" w:hAnsi="Times New Roman" w:cs="Times New Roman"/>
          <w:bCs/>
          <w:iCs/>
          <w:sz w:val="20"/>
          <w:szCs w:val="20"/>
        </w:rPr>
      </w:pPr>
    </w:p>
    <w:p w14:paraId="2B607E38" w14:textId="19540F2A" w:rsidR="00176E7D" w:rsidRPr="00CC3FFF" w:rsidRDefault="00176E7D" w:rsidP="00176E7D">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R. Moll-Diaz</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P. Bisaccia</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A. Zaramella</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M. Duci</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E. Bettella</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E. Baraldi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Muraca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Pozzobon</w:t>
      </w:r>
      <w:r w:rsidRPr="00CC3FFF">
        <w:rPr>
          <w:rFonts w:ascii="Times New Roman" w:hAnsi="Times New Roman" w:cs="Times New Roman"/>
          <w:bCs/>
          <w:iCs/>
          <w:sz w:val="20"/>
          <w:szCs w:val="20"/>
          <w:vertAlign w:val="superscript"/>
          <w:lang w:val="it-IT"/>
        </w:rPr>
        <w:t>1,2</w:t>
      </w:r>
    </w:p>
    <w:p w14:paraId="2BF1467C" w14:textId="77777777" w:rsidR="00176E7D" w:rsidRPr="00CC3FFF" w:rsidRDefault="00176E7D" w:rsidP="00176E7D">
      <w:pPr>
        <w:adjustRightInd w:val="0"/>
        <w:snapToGrid w:val="0"/>
        <w:spacing w:line="260" w:lineRule="atLeast"/>
        <w:rPr>
          <w:rFonts w:ascii="Times New Roman" w:hAnsi="Times New Roman" w:cs="Times New Roman"/>
          <w:bCs/>
          <w:iCs/>
          <w:sz w:val="20"/>
          <w:szCs w:val="20"/>
          <w:lang w:val="it-IT"/>
        </w:rPr>
      </w:pPr>
    </w:p>
    <w:p w14:paraId="1856524A" w14:textId="2806DB78" w:rsidR="00176E7D" w:rsidRPr="00CC3FFF" w:rsidRDefault="00176E7D" w:rsidP="00176E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Stem Cells and Regenerative Lab, Institute of Paediatric Research Città della Speranza, Padua, Italy</w:t>
      </w:r>
    </w:p>
    <w:p w14:paraId="429F9E40" w14:textId="1C671888" w:rsidR="00176E7D" w:rsidRPr="00CC3FFF" w:rsidRDefault="00176E7D" w:rsidP="00176E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99191E"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Women’s and Children’s Health, University of Padua, Padua, Italy</w:t>
      </w:r>
    </w:p>
    <w:p w14:paraId="354776B1" w14:textId="68114735" w:rsidR="00185909" w:rsidRPr="00CC3FFF" w:rsidRDefault="00185909" w:rsidP="00185909">
      <w:pPr>
        <w:adjustRightInd w:val="0"/>
        <w:snapToGrid w:val="0"/>
        <w:spacing w:line="260" w:lineRule="atLeast"/>
        <w:rPr>
          <w:rFonts w:ascii="Times New Roman" w:hAnsi="Times New Roman" w:cs="Times New Roman"/>
          <w:bCs/>
          <w:iCs/>
          <w:sz w:val="20"/>
          <w:szCs w:val="20"/>
        </w:rPr>
      </w:pPr>
    </w:p>
    <w:p w14:paraId="2524359D" w14:textId="03ED7115"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Inflammatory lung diseases driven by oxidative stress significantly contribute to global mortality. The pediatric and adult lung conditions such as Bronchopulmonary Dysplasia, Chronic Obstructive Pulmonary Disease and COVID-19 are pathological states in which reactive oxygen species (ROS)</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 xml:space="preserve">activate inflammatory pathways. Due to the limited effectiveness of current treatments, this project aims to study ROS generation in organoids with oxidative damage. The antioxidant and anti-inflammatory </w:t>
      </w:r>
      <w:r w:rsidRPr="00CC3FFF">
        <w:rPr>
          <w:rFonts w:ascii="Times New Roman" w:hAnsi="Times New Roman" w:cs="Times New Roman"/>
          <w:bCs/>
          <w:iCs/>
          <w:sz w:val="20"/>
          <w:szCs w:val="20"/>
        </w:rPr>
        <w:lastRenderedPageBreak/>
        <w:t>properties of extracellular vesicles (EVs) from bone marrow mesenchymal stem cells will be tested through the study of NF-kb and Nrf2-ARE pathways. Therefore, this model could advance understanding of oxidative stress and support new therapies for lung inflammation.</w:t>
      </w:r>
    </w:p>
    <w:p w14:paraId="4B98E98B" w14:textId="4807B165" w:rsidR="00823FD0" w:rsidRPr="00CC3FFF" w:rsidRDefault="006D3B3B" w:rsidP="00823FD0">
      <w:pPr>
        <w:adjustRightInd w:val="0"/>
        <w:snapToGrid w:val="0"/>
        <w:spacing w:line="260" w:lineRule="atLeast"/>
        <w:rPr>
          <w:rFonts w:ascii="Times New Roman" w:hAnsi="Times New Roman" w:cs="Times New Roman"/>
          <w:bCs/>
          <w:iCs/>
          <w:caps/>
          <w:sz w:val="20"/>
          <w:szCs w:val="20"/>
        </w:rPr>
      </w:pPr>
      <w:r>
        <w:rPr>
          <w:rFonts w:ascii="Times New Roman" w:hAnsi="Times New Roman" w:cs="Times New Roman"/>
          <w:bCs/>
          <w:iCs/>
          <w:caps/>
          <w:sz w:val="20"/>
          <w:szCs w:val="20"/>
        </w:rPr>
        <w:t xml:space="preserve">MATERIALS AND </w:t>
      </w:r>
      <w:r w:rsidR="00823FD0" w:rsidRPr="00CC3FFF">
        <w:rPr>
          <w:rFonts w:ascii="Times New Roman" w:hAnsi="Times New Roman" w:cs="Times New Roman"/>
          <w:bCs/>
          <w:iCs/>
          <w:caps/>
          <w:sz w:val="20"/>
          <w:szCs w:val="20"/>
        </w:rPr>
        <w:t xml:space="preserve">Methods: </w:t>
      </w:r>
      <w:r w:rsidR="00823FD0" w:rsidRPr="00CC3FFF">
        <w:rPr>
          <w:rFonts w:ascii="Times New Roman" w:hAnsi="Times New Roman" w:cs="Times New Roman"/>
          <w:bCs/>
          <w:iCs/>
          <w:sz w:val="20"/>
          <w:szCs w:val="20"/>
        </w:rPr>
        <w:t>The generation of a mouse lung organoid model (mLO) derived from adult stem cells and the induction of an oxidative damage by hydrogen peroxide (H</w:t>
      </w:r>
      <w:r w:rsidR="00823FD0" w:rsidRPr="005C0B02">
        <w:rPr>
          <w:rFonts w:ascii="Times New Roman" w:hAnsi="Times New Roman" w:cs="Times New Roman"/>
          <w:bCs/>
          <w:iCs/>
          <w:sz w:val="20"/>
          <w:szCs w:val="20"/>
          <w:vertAlign w:val="subscript"/>
        </w:rPr>
        <w:t>2</w:t>
      </w:r>
      <w:r w:rsidR="00823FD0" w:rsidRPr="00CC3FFF">
        <w:rPr>
          <w:rFonts w:ascii="Times New Roman" w:hAnsi="Times New Roman" w:cs="Times New Roman"/>
          <w:bCs/>
          <w:iCs/>
          <w:sz w:val="20"/>
          <w:szCs w:val="20"/>
        </w:rPr>
        <w:t>O</w:t>
      </w:r>
      <w:r w:rsidR="00823FD0" w:rsidRPr="005C0B02">
        <w:rPr>
          <w:rFonts w:ascii="Times New Roman" w:hAnsi="Times New Roman" w:cs="Times New Roman"/>
          <w:bCs/>
          <w:iCs/>
          <w:sz w:val="20"/>
          <w:szCs w:val="20"/>
          <w:vertAlign w:val="subscript"/>
        </w:rPr>
        <w:t>2</w:t>
      </w:r>
      <w:r w:rsidR="00823FD0" w:rsidRPr="00CC3FFF">
        <w:rPr>
          <w:rFonts w:ascii="Times New Roman" w:hAnsi="Times New Roman" w:cs="Times New Roman"/>
          <w:bCs/>
          <w:iCs/>
          <w:sz w:val="20"/>
          <w:szCs w:val="20"/>
        </w:rPr>
        <w:t>) administration was performed. EVs were administered, and Vitamin C was used as positive control. Immunofluorescence, gene expression analysis and viability assays were performed, along with assessments of cell death and proliferation.</w:t>
      </w:r>
    </w:p>
    <w:p w14:paraId="0CEA5428" w14:textId="38B4DF3F"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The characterization of mLOs showed stemness markers like SFTPC and CC10 present at early passages of the organoid culture. Gene expression analysis confirmed the formation of a mixed population of airway- and alveolar-like organoids, as indicated by the expression of MUC5AC b-TUB IV, SFTPC and RAGE markers, at late timepoints. The oxidative damage was proven by viability assays, the expression of 8-OXO-dG marker and the high proliferation of cells (KI67+cells). The antioxidant NRF2 protein was markedly present after damage but significantly reduced after EVs treatment. Moreover, qPCR analysis indicated a modulation of Tnf-a, and Tgf-b gene expression in damaged organoids and a recovery after EVs administration, confirming their anti-inflammatory and anti-oxidative action.</w:t>
      </w:r>
    </w:p>
    <w:p w14:paraId="0A62D873" w14:textId="11300B84"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This ex vivo mLO model could be useful both for disease development studies and as drug platform to test new therapeutic strategies for several pediatric and adult pulmonary diseases linked to oxidative stress.</w:t>
      </w:r>
    </w:p>
    <w:p w14:paraId="36059CE7" w14:textId="7C485AD7" w:rsidR="004D13F9" w:rsidRPr="00CC3FFF" w:rsidRDefault="004D13F9" w:rsidP="009C2C61">
      <w:pPr>
        <w:adjustRightInd w:val="0"/>
        <w:snapToGrid w:val="0"/>
        <w:spacing w:line="260" w:lineRule="atLeast"/>
        <w:rPr>
          <w:rFonts w:ascii="Times New Roman" w:hAnsi="Times New Roman" w:cs="Times New Roman"/>
          <w:bCs/>
          <w:iCs/>
          <w:sz w:val="20"/>
          <w:szCs w:val="20"/>
        </w:rPr>
      </w:pPr>
    </w:p>
    <w:p w14:paraId="439481B0" w14:textId="1F7F65A4" w:rsidR="00185909" w:rsidRPr="00CC3FFF" w:rsidRDefault="001604DA" w:rsidP="00185909">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39</w:t>
      </w:r>
      <w:r w:rsidRPr="00CC3FFF">
        <w:rPr>
          <w:rFonts w:ascii="Times New Roman" w:hAnsi="Times New Roman" w:cs="Times New Roman"/>
          <w:b/>
          <w:bCs/>
          <w:iCs/>
          <w:caps/>
          <w:sz w:val="20"/>
          <w:szCs w:val="20"/>
        </w:rPr>
        <w:t xml:space="preserve">. </w:t>
      </w:r>
      <w:r w:rsidR="00823FD0" w:rsidRPr="00CC3FFF">
        <w:rPr>
          <w:rFonts w:ascii="Times New Roman" w:hAnsi="Times New Roman" w:cs="Times New Roman"/>
          <w:b/>
          <w:bCs/>
          <w:iCs/>
          <w:caps/>
          <w:sz w:val="20"/>
          <w:szCs w:val="20"/>
        </w:rPr>
        <w:t>Lipidomic basis of enhanced paclitaxel efficacy via MFAT in glioblastoma</w:t>
      </w:r>
    </w:p>
    <w:p w14:paraId="5A403B67" w14:textId="77777777" w:rsidR="00823FD0" w:rsidRPr="00CC3FFF" w:rsidRDefault="00823FD0" w:rsidP="00185909">
      <w:pPr>
        <w:adjustRightInd w:val="0"/>
        <w:snapToGrid w:val="0"/>
        <w:spacing w:line="260" w:lineRule="atLeast"/>
        <w:rPr>
          <w:rFonts w:ascii="Times New Roman" w:hAnsi="Times New Roman" w:cs="Times New Roman"/>
          <w:bCs/>
          <w:iCs/>
          <w:sz w:val="20"/>
          <w:szCs w:val="20"/>
        </w:rPr>
      </w:pPr>
    </w:p>
    <w:p w14:paraId="2636C26E" w14:textId="2ADF54B7" w:rsidR="00823FD0" w:rsidRPr="00CC3FFF" w:rsidRDefault="00823FD0" w:rsidP="00823FD0">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C. Morano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V. Coccè</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M. Dei Cas</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Paino</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A. Sadikovic</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L. Doneda</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P. Giussani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G. Alessandri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C. Tremolada</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R. Paroni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Pessina</w:t>
      </w:r>
      <w:r w:rsidRPr="00CC3FFF">
        <w:rPr>
          <w:rFonts w:ascii="Times New Roman" w:hAnsi="Times New Roman" w:cs="Times New Roman"/>
          <w:bCs/>
          <w:iCs/>
          <w:sz w:val="20"/>
          <w:szCs w:val="20"/>
          <w:vertAlign w:val="superscript"/>
          <w:lang w:val="it-IT"/>
        </w:rPr>
        <w:t>2</w:t>
      </w:r>
    </w:p>
    <w:p w14:paraId="3AFED5C1" w14:textId="77777777" w:rsidR="00185909" w:rsidRPr="00CC3FFF" w:rsidRDefault="00185909" w:rsidP="00185909">
      <w:pPr>
        <w:adjustRightInd w:val="0"/>
        <w:snapToGrid w:val="0"/>
        <w:spacing w:line="260" w:lineRule="atLeast"/>
        <w:rPr>
          <w:rFonts w:ascii="Times New Roman" w:hAnsi="Times New Roman" w:cs="Times New Roman"/>
          <w:bCs/>
          <w:iCs/>
          <w:sz w:val="20"/>
          <w:szCs w:val="20"/>
          <w:lang w:val="it-IT"/>
        </w:rPr>
      </w:pPr>
    </w:p>
    <w:p w14:paraId="470C44E4" w14:textId="18399663" w:rsidR="00823FD0" w:rsidRPr="00CC3FFF" w:rsidRDefault="00823FD0" w:rsidP="00823FD0">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xml:space="preserve">CRC StaMeTec, Clinical Biochemistry and Mass Spectrometry Laboratory,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Health Sciences, University of Milan, Milan, Italy</w:t>
      </w:r>
    </w:p>
    <w:p w14:paraId="3CBBBDD6" w14:textId="006BA911" w:rsidR="00823FD0" w:rsidRPr="00CC3FFF" w:rsidRDefault="00823FD0" w:rsidP="00823FD0">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 xml:space="preserve">CRC StaMeTec,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Biomedical, Surgical and Dental Sciences, University of Milan, Milan, Italy</w:t>
      </w:r>
    </w:p>
    <w:p w14:paraId="096EA0E0" w14:textId="2FF27C79" w:rsidR="00823FD0" w:rsidRPr="00CC3FFF" w:rsidRDefault="00823FD0" w:rsidP="00823FD0">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Dep</w:t>
      </w:r>
      <w:r w:rsidR="0099191E"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Medical Biotechnology and Translational Medicine, Università degli Studi di Milano, LITA Segrate, Segrate, Italy</w:t>
      </w:r>
    </w:p>
    <w:p w14:paraId="741E5497" w14:textId="77777777" w:rsidR="00823FD0" w:rsidRPr="00CC3FFF" w:rsidRDefault="00823FD0" w:rsidP="00823FD0">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Image Regenerative Clinic, Milan, Italy</w:t>
      </w:r>
    </w:p>
    <w:p w14:paraId="313AA883" w14:textId="77777777" w:rsidR="00185909" w:rsidRPr="00CC3FFF" w:rsidRDefault="00185909" w:rsidP="00185909">
      <w:pPr>
        <w:adjustRightInd w:val="0"/>
        <w:snapToGrid w:val="0"/>
        <w:spacing w:line="260" w:lineRule="atLeast"/>
        <w:rPr>
          <w:rFonts w:ascii="Times New Roman" w:hAnsi="Times New Roman" w:cs="Times New Roman"/>
          <w:bCs/>
          <w:iCs/>
          <w:sz w:val="20"/>
          <w:szCs w:val="20"/>
        </w:rPr>
      </w:pPr>
    </w:p>
    <w:p w14:paraId="504B04AB" w14:textId="3B86F4A4"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Micro-fragmented adipose tissue (MFAT) has emerged as a promising natural scaffold for drug delivery. This study explores the potential of MFAT as a platform for Paclitaxel (PTX) delivery, investigating how the MFAT-derived secretome and its lipidomic composition influence PTX antitumor efficacy against glioblastoma.</w:t>
      </w:r>
    </w:p>
    <w:p w14:paraId="19406DEB" w14:textId="399F293F"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MFAT was processed from human lipoaspirates (Lipogems®) and loaded with PTX (1 mg/mL). After 72h incubation, PTX release and the secretome lipid profile were analyzed via targeted UPLC-MS/MS and untargeted UPLC-HRMS, respectively. Antitumor activity was evaluated on U87-MG glioblastoma cells (MTT assay). The modulatory roles of specific ceramides (CerEos and C16Cer) identified in the secretome were further investigated through co-treatment and pretreatment assays.</w:t>
      </w:r>
    </w:p>
    <w:p w14:paraId="51095A5D" w14:textId="028AA01B"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MFAT effectively released biologically active PTX. Notably, MFAT/PTX-conditioned media exhibited significantly lower IC50 values compared to free PTX, suggesting an enhanced antitumor activity.</w:t>
      </w:r>
    </w:p>
    <w:p w14:paraId="6EDC7F11" w14:textId="77777777" w:rsidR="00823FD0" w:rsidRPr="00CC3FFF" w:rsidRDefault="00823FD0" w:rsidP="00823FD0">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Lipidomic analysis showed that while triglycerides were reduced in the secretome compared to native</w:t>
      </w:r>
    </w:p>
    <w:p w14:paraId="1C03B4DA" w14:textId="77777777" w:rsidR="00823FD0" w:rsidRPr="00CC3FFF" w:rsidRDefault="00823FD0" w:rsidP="00823FD0">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MFAT, specific ceramides were enriched. Functional assays revealed that while CerEos had minimal impact at physiological doses, C16Cer significantly potentiated PTX activity, reducing its IC50 and increasing U87 cell sensitivity to the drug.</w:t>
      </w:r>
    </w:p>
    <w:p w14:paraId="3DA70F0E" w14:textId="492B27E3"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 xml:space="preserve">MFAT is an effective carrier for paclitaxel, enhancing its antitumor activity compared with the free drug. PTX loading selectively modifies the MFAT secretome, enriching of specific ceramides that may influence drug delivery. While CerEos did not enhance PTX efficacy at relevant concentrations, C16Cer markedly increased PTX sensitivity. These findings support MFAT/PTX as a promising localized </w:t>
      </w:r>
      <w:r w:rsidRPr="00CC3FFF">
        <w:rPr>
          <w:rFonts w:ascii="Times New Roman" w:hAnsi="Times New Roman" w:cs="Times New Roman"/>
          <w:bCs/>
          <w:iCs/>
          <w:sz w:val="20"/>
          <w:szCs w:val="20"/>
        </w:rPr>
        <w:lastRenderedPageBreak/>
        <w:t>drug-delivery system and highlight the importance of lipid–drug interactions in advanced MFAT-based therapeutic strategies.</w:t>
      </w:r>
    </w:p>
    <w:p w14:paraId="7A618590" w14:textId="02EF111E" w:rsidR="00185909" w:rsidRPr="00CC3FFF" w:rsidRDefault="00185909" w:rsidP="009C2C61">
      <w:pPr>
        <w:adjustRightInd w:val="0"/>
        <w:snapToGrid w:val="0"/>
        <w:spacing w:line="260" w:lineRule="atLeast"/>
        <w:rPr>
          <w:rFonts w:ascii="Times New Roman" w:hAnsi="Times New Roman" w:cs="Times New Roman"/>
          <w:bCs/>
          <w:iCs/>
          <w:sz w:val="20"/>
          <w:szCs w:val="20"/>
        </w:rPr>
      </w:pPr>
    </w:p>
    <w:p w14:paraId="1256EAA8" w14:textId="756BB7F3" w:rsidR="009C2C61" w:rsidRPr="00CC3FFF" w:rsidRDefault="001604DA" w:rsidP="009C2C61">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40. </w:t>
      </w:r>
      <w:r w:rsidR="00823FD0" w:rsidRPr="00CC3FFF">
        <w:rPr>
          <w:rFonts w:ascii="Times New Roman" w:hAnsi="Times New Roman" w:cs="Times New Roman"/>
          <w:b/>
          <w:bCs/>
          <w:iCs/>
          <w:caps/>
          <w:sz w:val="20"/>
          <w:szCs w:val="20"/>
        </w:rPr>
        <w:t>In vitro expansion of human adipose-derived mesenchymal stromal cells for regenerative applications reveals dynamic small-variant changes within a stable genetic background</w:t>
      </w:r>
    </w:p>
    <w:p w14:paraId="60F6FD02" w14:textId="77777777" w:rsidR="00823FD0" w:rsidRPr="00CC3FFF" w:rsidRDefault="00823FD0" w:rsidP="009C2C61">
      <w:pPr>
        <w:adjustRightInd w:val="0"/>
        <w:snapToGrid w:val="0"/>
        <w:spacing w:line="260" w:lineRule="atLeast"/>
        <w:rPr>
          <w:rFonts w:ascii="Times New Roman" w:hAnsi="Times New Roman" w:cs="Times New Roman"/>
          <w:bCs/>
          <w:iCs/>
          <w:caps/>
          <w:sz w:val="20"/>
          <w:szCs w:val="20"/>
        </w:rPr>
      </w:pPr>
    </w:p>
    <w:p w14:paraId="172C84BA" w14:textId="62709B5B" w:rsidR="00823FD0" w:rsidRPr="00CC3FFF" w:rsidRDefault="00823FD0" w:rsidP="00823FD0">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S. Neri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I. Bartolotti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E. Pedrini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C. Manferdini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E. Assirelli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Ursini</w:t>
      </w:r>
      <w:r w:rsidRPr="00CC3FFF">
        <w:rPr>
          <w:rFonts w:ascii="Times New Roman" w:hAnsi="Times New Roman" w:cs="Times New Roman"/>
          <w:bCs/>
          <w:iCs/>
          <w:sz w:val="20"/>
          <w:szCs w:val="20"/>
          <w:vertAlign w:val="superscript"/>
          <w:lang w:val="it-IT"/>
        </w:rPr>
        <w:t>1,4</w:t>
      </w:r>
    </w:p>
    <w:p w14:paraId="477E6906" w14:textId="77777777" w:rsidR="00823FD0" w:rsidRPr="00CC3FFF" w:rsidRDefault="00823FD0" w:rsidP="00823FD0">
      <w:pPr>
        <w:adjustRightInd w:val="0"/>
        <w:snapToGrid w:val="0"/>
        <w:spacing w:line="260" w:lineRule="atLeast"/>
        <w:rPr>
          <w:rFonts w:ascii="Times New Roman" w:hAnsi="Times New Roman" w:cs="Times New Roman"/>
          <w:bCs/>
          <w:iCs/>
          <w:sz w:val="20"/>
          <w:szCs w:val="20"/>
          <w:lang w:val="it-IT"/>
        </w:rPr>
      </w:pPr>
    </w:p>
    <w:p w14:paraId="68097AF9" w14:textId="7B938D0A" w:rsidR="00823FD0" w:rsidRPr="00CC3FFF" w:rsidRDefault="00823FD0" w:rsidP="00823FD0">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Medicine and Rheumatology Unit, IRCCS Istituto Ortopedico Rizzoli, Bologna, Italy</w:t>
      </w:r>
    </w:p>
    <w:p w14:paraId="5DD01899" w14:textId="1290A139" w:rsidR="009C2C61" w:rsidRPr="00CC3FFF" w:rsidRDefault="00823FD0" w:rsidP="00823FD0">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Dep</w:t>
      </w:r>
      <w:r w:rsidR="00CF2887" w:rsidRPr="00CC3FFF">
        <w:rPr>
          <w:rFonts w:ascii="Times New Roman" w:hAnsi="Times New Roman" w:cs="Times New Roman"/>
          <w:bCs/>
          <w:iCs/>
          <w:sz w:val="20"/>
          <w:szCs w:val="20"/>
          <w:lang w:val="it-IT"/>
        </w:rPr>
        <w:t>artmen</w:t>
      </w:r>
      <w:r w:rsidRPr="00CC3FFF">
        <w:rPr>
          <w:rFonts w:ascii="Times New Roman" w:hAnsi="Times New Roman" w:cs="Times New Roman"/>
          <w:bCs/>
          <w:iCs/>
          <w:sz w:val="20"/>
          <w:szCs w:val="20"/>
          <w:lang w:val="it-IT"/>
        </w:rPr>
        <w:t xml:space="preserve">t of Rare Skeletal Disorders, IRCCS Istituto Ortopedico Rizzoli, Bologna, Italy </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xml:space="preserve">Immunorheumatology and Tissue Regeneration Laboratory, Istituto Ortopedico Rizzoli, Bologna, Italy </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Dep</w:t>
      </w:r>
      <w:r w:rsidR="00CF2887" w:rsidRPr="00CC3FFF">
        <w:rPr>
          <w:rFonts w:ascii="Times New Roman" w:hAnsi="Times New Roman" w:cs="Times New Roman"/>
          <w:bCs/>
          <w:iCs/>
          <w:sz w:val="20"/>
          <w:szCs w:val="20"/>
          <w:lang w:val="it-IT"/>
        </w:rPr>
        <w:t>artmen</w:t>
      </w:r>
      <w:r w:rsidRPr="00CC3FFF">
        <w:rPr>
          <w:rFonts w:ascii="Times New Roman" w:hAnsi="Times New Roman" w:cs="Times New Roman"/>
          <w:bCs/>
          <w:iCs/>
          <w:sz w:val="20"/>
          <w:szCs w:val="20"/>
          <w:lang w:val="it-IT"/>
        </w:rPr>
        <w:t>t of Biomedical and Neuromotor Sciences (DIBINEM), Università di Bologna, Bologna, Italy</w:t>
      </w:r>
    </w:p>
    <w:p w14:paraId="134C9A06" w14:textId="77777777" w:rsidR="009C2C61" w:rsidRPr="00CC3FFF" w:rsidRDefault="009C2C61" w:rsidP="009C2C61">
      <w:pPr>
        <w:adjustRightInd w:val="0"/>
        <w:snapToGrid w:val="0"/>
        <w:spacing w:line="260" w:lineRule="atLeast"/>
        <w:rPr>
          <w:rFonts w:ascii="Times New Roman" w:hAnsi="Times New Roman" w:cs="Times New Roman"/>
          <w:bCs/>
          <w:iCs/>
          <w:sz w:val="20"/>
          <w:szCs w:val="20"/>
          <w:lang w:val="it-IT"/>
        </w:rPr>
      </w:pPr>
    </w:p>
    <w:p w14:paraId="17D04B07" w14:textId="3D318BD1"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The clinical use of in vitro–expanded mesenchymal stromal cells (MSCs) requires careful evaluation of genomic stability to ensure safety prior to therapeutic application, in accordance with Good Manufacturing Practice requirements. While current assessments mainly focus on large cytogenetic alterations, small genetic variants are often overlooked. Here, we evaluated the suitability of Next Generation Sequencing (NGS) as a quality control and safety surveillance tool to monitor genomic stability at single-base resolution. Using NGS and digital PCR, we tracked somatic mutations and copy number variations in cancer-related genes of adipose-derived stromal cells (ASCs) from knee osteoarthritis patients at different stages of in vitro expansion (P0–P10), providing a more detailed assessment of genetic stability during culture.</w:t>
      </w:r>
    </w:p>
    <w:p w14:paraId="6B561361" w14:textId="702F1965"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Human ASCs from 23 osteoarthritis patients were analyzed at multiple time points from passage 1 to passage 10, with one case extended to passage 14. Targeted NGS of a panel of cancer-related genes was performed to detect somatic single-nucleotide variants and small insertions/deletions. Copy number variations were assessed across all panel regions using coverage-based NGS analysis, and digital PCR was performed specifically for the p53 gene.</w:t>
      </w:r>
    </w:p>
    <w:p w14:paraId="071F52AF" w14:textId="426C4A05"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ASCs largely maintained overall genetic stability throughout in vitro expansion. Nevertheless, sporadic small genetic variants emerged over time, including alterations with potential pathogenic relevance or variants of uncertain significance, indicating dynamic genetic changes during culture. No copy number variations were detected at any passage.</w:t>
      </w:r>
    </w:p>
    <w:p w14:paraId="26510A93" w14:textId="59F28853" w:rsidR="00823FD0" w:rsidRPr="00CC3FFF" w:rsidRDefault="00823FD0" w:rsidP="00823FD0">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These findings confirm culture duration as a critical factor influencing the accumulation of genetic alterations in mesenchymal stromal cells, highlighting the importance of minimizing in vitro expansion. Given the potential functional impact of small genetic variants and the high sensitivity and throughput of NGS, systematic monitoring of emerging mutations represents not only a valuable research approach but also a robust strategy for genetic surveillance. Incorporating NGS-based analyses into quality control frameworks could improve standardized assessment of genomic integrity in MSCs prior to clinical application.</w:t>
      </w:r>
    </w:p>
    <w:p w14:paraId="2F93CC63" w14:textId="2652E488" w:rsidR="00185909" w:rsidRPr="00CC3FFF" w:rsidRDefault="00185909" w:rsidP="009C2C61">
      <w:pPr>
        <w:adjustRightInd w:val="0"/>
        <w:snapToGrid w:val="0"/>
        <w:spacing w:line="260" w:lineRule="atLeast"/>
        <w:rPr>
          <w:rFonts w:ascii="Times New Roman" w:hAnsi="Times New Roman" w:cs="Times New Roman"/>
          <w:bCs/>
          <w:iCs/>
          <w:sz w:val="20"/>
          <w:szCs w:val="20"/>
        </w:rPr>
      </w:pPr>
    </w:p>
    <w:p w14:paraId="317D5AAA" w14:textId="5F4BE658" w:rsidR="00185909" w:rsidRPr="00CC3FFF" w:rsidRDefault="001604DA" w:rsidP="00185909">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41. </w:t>
      </w:r>
      <w:r w:rsidR="00DC278D" w:rsidRPr="00CC3FFF">
        <w:rPr>
          <w:rFonts w:ascii="Times New Roman" w:hAnsi="Times New Roman" w:cs="Times New Roman"/>
          <w:b/>
          <w:bCs/>
          <w:iCs/>
          <w:caps/>
          <w:sz w:val="20"/>
          <w:szCs w:val="20"/>
        </w:rPr>
        <w:t>Dissecting the role of amniotic epithelial and mesenchymal cells in amniotic membrane–mediated chronic wound healing</w:t>
      </w:r>
    </w:p>
    <w:p w14:paraId="310BF856" w14:textId="77777777" w:rsidR="00185909" w:rsidRPr="00CC3FFF" w:rsidRDefault="00185909" w:rsidP="00185909">
      <w:pPr>
        <w:adjustRightInd w:val="0"/>
        <w:snapToGrid w:val="0"/>
        <w:spacing w:line="260" w:lineRule="atLeast"/>
        <w:rPr>
          <w:rFonts w:ascii="Times New Roman" w:hAnsi="Times New Roman" w:cs="Times New Roman"/>
          <w:bCs/>
          <w:iCs/>
          <w:caps/>
          <w:sz w:val="20"/>
          <w:szCs w:val="20"/>
        </w:rPr>
      </w:pPr>
    </w:p>
    <w:p w14:paraId="7699F5BD" w14:textId="7A0AF745" w:rsidR="00DC278D" w:rsidRPr="00CC3FFF" w:rsidRDefault="00DC278D" w:rsidP="00DC278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M. Alcaraz-Romero</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I. Hernández-Mármol</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J. M. Puente-Cuadrado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Rodríguez-Valiente</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A. R. Silini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O. Parolini</w:t>
      </w:r>
      <w:r w:rsidRPr="00CC3FFF">
        <w:rPr>
          <w:rFonts w:ascii="Times New Roman" w:hAnsi="Times New Roman" w:cs="Times New Roman"/>
          <w:bCs/>
          <w:iCs/>
          <w:sz w:val="20"/>
          <w:szCs w:val="20"/>
          <w:vertAlign w:val="superscript"/>
          <w:lang w:val="it-IT"/>
        </w:rPr>
        <w:t>4,5</w:t>
      </w:r>
      <w:r w:rsidRPr="00CC3FFF">
        <w:rPr>
          <w:rFonts w:ascii="Times New Roman" w:hAnsi="Times New Roman" w:cs="Times New Roman"/>
          <w:bCs/>
          <w:iCs/>
          <w:sz w:val="20"/>
          <w:szCs w:val="20"/>
          <w:lang w:val="it-IT"/>
        </w:rPr>
        <w:t>, F. J. Nicolás</w:t>
      </w:r>
      <w:r w:rsidRPr="00CC3FFF">
        <w:rPr>
          <w:rFonts w:ascii="Times New Roman" w:hAnsi="Times New Roman" w:cs="Times New Roman"/>
          <w:bCs/>
          <w:iCs/>
          <w:sz w:val="20"/>
          <w:szCs w:val="20"/>
          <w:vertAlign w:val="superscript"/>
          <w:lang w:val="it-IT"/>
        </w:rPr>
        <w:t>1</w:t>
      </w:r>
    </w:p>
    <w:p w14:paraId="43D0874C" w14:textId="77777777" w:rsidR="00185909" w:rsidRPr="00CC3FFF" w:rsidRDefault="00185909" w:rsidP="00185909">
      <w:pPr>
        <w:adjustRightInd w:val="0"/>
        <w:snapToGrid w:val="0"/>
        <w:spacing w:line="260" w:lineRule="atLeast"/>
        <w:rPr>
          <w:rFonts w:ascii="Times New Roman" w:hAnsi="Times New Roman" w:cs="Times New Roman"/>
          <w:bCs/>
          <w:iCs/>
          <w:sz w:val="20"/>
          <w:szCs w:val="20"/>
          <w:lang w:val="it-IT"/>
        </w:rPr>
      </w:pPr>
    </w:p>
    <w:p w14:paraId="341D772F" w14:textId="71FBCC2E" w:rsidR="00DC278D" w:rsidRPr="00CC3FFF" w:rsidRDefault="00DC278D" w:rsidP="00DC278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xml:space="preserve">Regeneración, Oncología Molecular y TGFß. </w:t>
      </w:r>
      <w:r w:rsidRPr="00CC3FFF">
        <w:rPr>
          <w:rFonts w:ascii="Times New Roman" w:hAnsi="Times New Roman" w:cs="Times New Roman"/>
          <w:bCs/>
          <w:iCs/>
          <w:sz w:val="20"/>
          <w:szCs w:val="20"/>
          <w:lang w:val="it-IT"/>
        </w:rPr>
        <w:t>Instituto Murciano de Investigación Biosanitaria Pascual Parrilla (IMIB). Murcia, Spain</w:t>
      </w:r>
    </w:p>
    <w:p w14:paraId="69720DC7" w14:textId="77777777" w:rsidR="00DC278D" w:rsidRPr="00CC3FFF" w:rsidRDefault="00DC278D" w:rsidP="00DC278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Soluciones de biología molecular y celular en Medicina regenerativa. Universidad Católica San Antonio (UCAM). Murcia, Spain</w:t>
      </w:r>
    </w:p>
    <w:p w14:paraId="3CBEE18A" w14:textId="77777777" w:rsidR="00DC278D" w:rsidRPr="00CC3FFF" w:rsidRDefault="00DC278D" w:rsidP="00DC278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Centro di Ricerca E. Menni, Fondazione Poliambulanza Istituto Ospedaliero, Brescia, Italy</w:t>
      </w:r>
    </w:p>
    <w:p w14:paraId="656033EC" w14:textId="08EBDA4F" w:rsidR="00DC278D" w:rsidRPr="00CC3FFF" w:rsidRDefault="00DC278D" w:rsidP="00DC278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Dep</w:t>
      </w:r>
      <w:r w:rsidR="00CF2887"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 xml:space="preserve">t of Life Science and Public Health, Università Cattolica del Sacro Cuore, Rome, Italy </w:t>
      </w:r>
    </w:p>
    <w:p w14:paraId="578784FA" w14:textId="36B4DA4C" w:rsidR="00DC278D" w:rsidRPr="00CC3FFF" w:rsidRDefault="00DC278D" w:rsidP="00DC278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lastRenderedPageBreak/>
        <w:t>5</w:t>
      </w:r>
      <w:r w:rsidRPr="00CC3FFF">
        <w:rPr>
          <w:rFonts w:ascii="Times New Roman" w:hAnsi="Times New Roman" w:cs="Times New Roman"/>
          <w:bCs/>
          <w:iCs/>
          <w:sz w:val="20"/>
          <w:szCs w:val="20"/>
          <w:lang w:val="it-IT"/>
        </w:rPr>
        <w:t>Fondazione IRCCS Casa Sollievo della Sofferenza, San Giovanni Rotondo, Foggia, Italy</w:t>
      </w:r>
    </w:p>
    <w:p w14:paraId="69829143" w14:textId="77777777" w:rsidR="00185909" w:rsidRPr="00CC3FFF" w:rsidRDefault="00185909" w:rsidP="00185909">
      <w:pPr>
        <w:adjustRightInd w:val="0"/>
        <w:snapToGrid w:val="0"/>
        <w:spacing w:line="260" w:lineRule="atLeast"/>
        <w:rPr>
          <w:rFonts w:ascii="Times New Roman" w:hAnsi="Times New Roman" w:cs="Times New Roman"/>
          <w:bCs/>
          <w:iCs/>
          <w:sz w:val="20"/>
          <w:szCs w:val="20"/>
          <w:lang w:val="it-IT"/>
        </w:rPr>
      </w:pPr>
    </w:p>
    <w:p w14:paraId="3986AD4A" w14:textId="769A7A60" w:rsidR="00DC278D" w:rsidRPr="00CC3FFF" w:rsidRDefault="00DC278D" w:rsidP="00DC278D">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Chronic wounds, including diabetic foot ulcers, frequently fail to progress through the normal stages of wound healing, resulting in impaired re-epithelialization. The clinical application of human amniotic membrane (AM) has proven effective in reactivating these stalled wounds. AM is composed mainly of</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human amniotic epithelial cells (hAECs) and human amniotic mesenchymal stromal cells (hAMSCs), but the specific contribution of each cell population to the therapeutic effects of AM remains unclear. The objective of this study was to evaluate the relative roles of hAECs and hAMSCs in key processes involved in wound repair.</w:t>
      </w:r>
    </w:p>
    <w:p w14:paraId="2939EF2D" w14:textId="442E2785" w:rsidR="00DC278D" w:rsidRPr="00CC3FFF" w:rsidRDefault="00DC278D" w:rsidP="00DC278D">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The effects of hAECs and hAMSCs were compared using a panel of in vitro experimental models designed to recapitulate critical events of the wound healing process, including cell migration, angiogenic-related responses, and re-entry of quiescent cells into the cell cycle. To assess paracrine mechanisms, conditioned media were generated from both cell types using different culture strategies and tested across the experimental systems.</w:t>
      </w:r>
    </w:p>
    <w:p w14:paraId="4E9AE325" w14:textId="242F0363" w:rsidR="00DC278D" w:rsidRPr="00CC3FFF" w:rsidRDefault="00DC278D" w:rsidP="00DC278D">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Conditioned media derived from hAECs reproduced some of the biological effects associated with intact AM, particularly those related to cell migration and the expression of migration-associated proteins. However, these effects were markedly enhanced by hAMSC-conditioned media, which consistently surpassed the migratory response induced by AM itself. In addition, hAMSC-conditioned media promoted cell proliferation and effectively antagonized TGF-β–mediated cell cycle arrest, a characteristic feature of chronic non-healing wounds. These effects were comparable to those induced by AM and were absent in. Analysis of cellular senescence revealed a clear response following treatment with hAMSC-conditioned media or AM, whereas no significant effect was observed with hAEC-derived conditioned media. hAMSC-conditioned media test on human fibroblast produced a significant antifibrotic response, not exhibited by hAEC-conditioned media.</w:t>
      </w:r>
    </w:p>
    <w:p w14:paraId="191751EB" w14:textId="43FC8186" w:rsidR="00DC278D" w:rsidRPr="00CC3FFF" w:rsidRDefault="00DC278D" w:rsidP="00DC278D">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These findings indicate that the mesenchymal component of the amniotic membrane plays a predominant role in mediating the regenerative effects observed in chronic wound healing. Nevertheless, a contribution of amniotic epithelial cells cannot be excluded, particularly in biological processes not addressed in this study, such as immune modulation, endothelial regulation, or control of excessive fibrosis.</w:t>
      </w:r>
    </w:p>
    <w:p w14:paraId="215E16AA" w14:textId="2E62CDCD" w:rsidR="00185909" w:rsidRPr="00CC3FFF" w:rsidRDefault="00185909" w:rsidP="00185909">
      <w:pPr>
        <w:adjustRightInd w:val="0"/>
        <w:snapToGrid w:val="0"/>
        <w:spacing w:line="260" w:lineRule="atLeast"/>
        <w:rPr>
          <w:rFonts w:ascii="Times New Roman" w:hAnsi="Times New Roman" w:cs="Times New Roman"/>
          <w:bCs/>
          <w:iCs/>
          <w:sz w:val="20"/>
          <w:szCs w:val="20"/>
        </w:rPr>
      </w:pPr>
    </w:p>
    <w:p w14:paraId="22E3996D" w14:textId="77777777" w:rsidR="00B059F7" w:rsidRPr="00CC3FFF" w:rsidRDefault="001604DA" w:rsidP="00185909">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42. </w:t>
      </w:r>
      <w:r w:rsidR="00B059F7" w:rsidRPr="00CC3FFF">
        <w:rPr>
          <w:rFonts w:ascii="Times New Roman" w:hAnsi="Times New Roman" w:cs="Times New Roman"/>
          <w:b/>
          <w:bCs/>
          <w:iCs/>
          <w:caps/>
          <w:sz w:val="20"/>
          <w:szCs w:val="20"/>
        </w:rPr>
        <w:t>Secretome from micro-fragmented human adipose tissue modulates inflammatory activity of monocytes/macrophages via ICAM-1</w:t>
      </w:r>
    </w:p>
    <w:p w14:paraId="7663CD9D" w14:textId="77777777" w:rsidR="00B059F7" w:rsidRPr="00CC3FFF" w:rsidRDefault="00B059F7" w:rsidP="00185909">
      <w:pPr>
        <w:adjustRightInd w:val="0"/>
        <w:snapToGrid w:val="0"/>
        <w:spacing w:line="260" w:lineRule="atLeast"/>
        <w:rPr>
          <w:rFonts w:ascii="Times New Roman" w:hAnsi="Times New Roman" w:cs="Times New Roman"/>
          <w:b/>
          <w:bCs/>
          <w:iCs/>
          <w:caps/>
          <w:sz w:val="20"/>
          <w:szCs w:val="20"/>
        </w:rPr>
      </w:pPr>
    </w:p>
    <w:p w14:paraId="244EC2FD" w14:textId="3953ABD9" w:rsidR="00B059F7" w:rsidRPr="00CC3FFF" w:rsidRDefault="00B059F7" w:rsidP="00185909">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V. Coccè</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E. Martegani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F. Paino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L. Doneda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Alessandri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B. Manfredi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Giannì</w:t>
      </w:r>
      <w:r w:rsidRPr="00CC3FFF">
        <w:rPr>
          <w:rFonts w:ascii="Times New Roman" w:hAnsi="Times New Roman" w:cs="Times New Roman"/>
          <w:bCs/>
          <w:iCs/>
          <w:sz w:val="20"/>
          <w:szCs w:val="20"/>
          <w:vertAlign w:val="superscript"/>
          <w:lang w:val="it-IT"/>
        </w:rPr>
        <w:t>1,3</w:t>
      </w:r>
      <w:r w:rsidRPr="00CC3FFF">
        <w:rPr>
          <w:rFonts w:ascii="Times New Roman" w:hAnsi="Times New Roman" w:cs="Times New Roman"/>
          <w:bCs/>
          <w:iCs/>
          <w:sz w:val="20"/>
          <w:szCs w:val="20"/>
          <w:lang w:val="it-IT"/>
        </w:rPr>
        <w:t>, E.Ciusani</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E. Colombani</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C. Tremolada</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A. Pessina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xml:space="preserve"> </w:t>
      </w:r>
    </w:p>
    <w:p w14:paraId="26BDE227" w14:textId="77777777" w:rsidR="00B059F7" w:rsidRPr="00CC3FFF" w:rsidRDefault="00B059F7" w:rsidP="00185909">
      <w:pPr>
        <w:adjustRightInd w:val="0"/>
        <w:snapToGrid w:val="0"/>
        <w:spacing w:line="260" w:lineRule="atLeast"/>
        <w:rPr>
          <w:rFonts w:ascii="Times New Roman" w:hAnsi="Times New Roman" w:cs="Times New Roman"/>
          <w:bCs/>
          <w:iCs/>
          <w:sz w:val="20"/>
          <w:szCs w:val="20"/>
          <w:lang w:val="it-IT"/>
        </w:rPr>
      </w:pPr>
    </w:p>
    <w:p w14:paraId="0254220E" w14:textId="1B815EE5" w:rsidR="00B059F7" w:rsidRPr="00CC3FFF" w:rsidRDefault="00B059F7" w:rsidP="00B059F7">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xml:space="preserve">CRC StaMeTec,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Biomedical, Surgical and Dental Sciences, University of Milan, Milan, Italy</w:t>
      </w:r>
    </w:p>
    <w:p w14:paraId="70AB33AC" w14:textId="76037EAE" w:rsidR="00B059F7" w:rsidRPr="00CC3FFF" w:rsidRDefault="00B059F7" w:rsidP="00B059F7">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CF2887"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Psychology Università Cattolica del Sacro Cuore, Milan, Italy; Laboratory of Cellular Biochemistry and Molecular Biology, CRIBENS, Università Cattolica del Sacro Cuore, Milan, Italy</w:t>
      </w:r>
    </w:p>
    <w:p w14:paraId="72EA3D5A" w14:textId="77777777" w:rsidR="00B059F7" w:rsidRPr="00CC3FFF" w:rsidRDefault="00B059F7" w:rsidP="00B059F7">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Maxillo-Facial and Dental Unit, Fondazione Ca’ Granda IRCCS Ospedale Maggiore Policlinico, Milan, Italy</w:t>
      </w:r>
    </w:p>
    <w:p w14:paraId="1F409DCF" w14:textId="25712E44" w:rsidR="00B059F7" w:rsidRPr="00CC3FFF" w:rsidRDefault="00B059F7" w:rsidP="00B059F7">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Dep</w:t>
      </w:r>
      <w:r w:rsidR="00CF2887"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Diagnostics and Technology, Fondazione IRCCS Istituto Neurologico “</w:t>
      </w:r>
      <w:proofErr w:type="gramStart"/>
      <w:r w:rsidRPr="00CC3FFF">
        <w:rPr>
          <w:rFonts w:ascii="Times New Roman" w:hAnsi="Times New Roman" w:cs="Times New Roman"/>
          <w:bCs/>
          <w:iCs/>
          <w:sz w:val="20"/>
          <w:szCs w:val="20"/>
        </w:rPr>
        <w:t>C.Besta</w:t>
      </w:r>
      <w:proofErr w:type="gramEnd"/>
      <w:r w:rsidRPr="00CC3FFF">
        <w:rPr>
          <w:rFonts w:ascii="Times New Roman" w:hAnsi="Times New Roman" w:cs="Times New Roman"/>
          <w:bCs/>
          <w:iCs/>
          <w:sz w:val="20"/>
          <w:szCs w:val="20"/>
        </w:rPr>
        <w:t>”, Milan, Italy</w:t>
      </w:r>
    </w:p>
    <w:p w14:paraId="382216A3" w14:textId="0CF2C846" w:rsidR="00185909" w:rsidRPr="00CC3FFF" w:rsidRDefault="00B059F7" w:rsidP="00B059F7">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5</w:t>
      </w:r>
      <w:r w:rsidRPr="00CC3FFF">
        <w:rPr>
          <w:rFonts w:ascii="Times New Roman" w:hAnsi="Times New Roman" w:cs="Times New Roman"/>
          <w:bCs/>
          <w:iCs/>
          <w:sz w:val="20"/>
          <w:szCs w:val="20"/>
        </w:rPr>
        <w:t>Image Regenerative Clinic, Milan, Italy</w:t>
      </w:r>
    </w:p>
    <w:p w14:paraId="231D0A30" w14:textId="77777777" w:rsidR="00185909" w:rsidRPr="00CC3FFF" w:rsidRDefault="00185909" w:rsidP="00185909">
      <w:pPr>
        <w:adjustRightInd w:val="0"/>
        <w:snapToGrid w:val="0"/>
        <w:spacing w:line="260" w:lineRule="atLeast"/>
        <w:rPr>
          <w:rFonts w:ascii="Times New Roman" w:hAnsi="Times New Roman" w:cs="Times New Roman"/>
          <w:bCs/>
          <w:iCs/>
          <w:sz w:val="20"/>
          <w:szCs w:val="20"/>
        </w:rPr>
      </w:pPr>
    </w:p>
    <w:p w14:paraId="19991318" w14:textId="4A0DBF16" w:rsidR="00B059F7" w:rsidRPr="00CC3FFF" w:rsidRDefault="00B059F7" w:rsidP="00B059F7">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Micro-fragmented adipose tissue (MFAT) is a widely used biological product in regenerative medicine. While its clinical efficacy is well-documented, the underlying paracrine mechanisms remain to be fully elucidated. This study investigates the biological activity of the MFAT-derived secretome, focusing on its immunomodulatory potential and its impact on cellular proliferation.</w:t>
      </w:r>
    </w:p>
    <w:p w14:paraId="24C18501" w14:textId="2FD502AC" w:rsidR="00B059F7" w:rsidRPr="00CC3FFF" w:rsidRDefault="00B059F7" w:rsidP="00B059F7">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Lipoaspirate samples were obtained from subcutaneous adipose tissue using the Lipogems</w:t>
      </w:r>
      <w:r w:rsidRPr="005C0B02">
        <w:rPr>
          <w:rFonts w:ascii="Times New Roman" w:hAnsi="Times New Roman" w:cs="Times New Roman"/>
          <w:bCs/>
          <w:iCs/>
          <w:sz w:val="20"/>
          <w:szCs w:val="20"/>
          <w:vertAlign w:val="superscript"/>
        </w:rPr>
        <w:t>®</w:t>
      </w:r>
      <w:r w:rsidRPr="00CC3FFF">
        <w:rPr>
          <w:rFonts w:ascii="Times New Roman" w:hAnsi="Times New Roman" w:cs="Times New Roman"/>
          <w:bCs/>
          <w:iCs/>
          <w:sz w:val="20"/>
          <w:szCs w:val="20"/>
        </w:rPr>
        <w:t xml:space="preserve"> system and processed to generate MFAT. Fresh MFAT from six donors was cultured in serum-free DMEM for 5–6 days. The conditioned medium (secretome) was collected, centrifuged, and </w:t>
      </w:r>
      <w:r w:rsidRPr="00CC3FFF">
        <w:rPr>
          <w:rFonts w:ascii="Times New Roman" w:hAnsi="Times New Roman" w:cs="Times New Roman"/>
          <w:bCs/>
          <w:iCs/>
          <w:sz w:val="20"/>
          <w:szCs w:val="20"/>
        </w:rPr>
        <w:lastRenderedPageBreak/>
        <w:t>stored at −20°C prior to freeze-drying. U-937 monocytes were treated with donor-derived secretomes, and the expression of six adhesion molecules (VCAM, NCAM, ITGB3, ICAM-1, MCAM, and ICAM-2) was assessed by flow</w:t>
      </w:r>
      <w:r w:rsidR="00CF2887" w:rsidRPr="00CC3FFF">
        <w:rPr>
          <w:rFonts w:ascii="Times New Roman" w:hAnsi="Times New Roman" w:cs="Times New Roman"/>
          <w:bCs/>
          <w:iCs/>
          <w:sz w:val="20"/>
          <w:szCs w:val="20"/>
        </w:rPr>
        <w:t xml:space="preserve"> </w:t>
      </w:r>
      <w:r w:rsidRPr="00CC3FFF">
        <w:rPr>
          <w:rFonts w:ascii="Times New Roman" w:hAnsi="Times New Roman" w:cs="Times New Roman"/>
          <w:bCs/>
          <w:iCs/>
          <w:sz w:val="20"/>
          <w:szCs w:val="20"/>
        </w:rPr>
        <w:t>cytometry. Anti-inflammatory activity was assessed by measuring RANTES and MCP-1 levels following LPS stimulation by ELISA. Proliferation assays were performed on both normal and cancer cell lines to evaluate safety.</w:t>
      </w:r>
    </w:p>
    <w:p w14:paraId="353E88EF" w14:textId="599BFC9C" w:rsidR="00B059F7" w:rsidRPr="00CC3FFF" w:rsidRDefault="00B059F7" w:rsidP="00B059F7">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Flow cytometry revealed low basal expression of NCAM, MCAM, VCAM, and ICAM-2 in U-937 cells, with no significant modulation by the secretomes. ITGB3 and VCAM showed a slight, non-significant reduction with one donor secretome. In contrast, ICAM-1 expression was strongly and consistently inhibited by all MFAT secretomes. ELISA analysis confirmed that LPS stimulation significantly increased RANTES and MCP-1 production. Secretomes displayed donor-dependent effects on RANTES secretion, with half of the samples showing no stimulation and three inducing a significant increase. Overall,</w:t>
      </w:r>
      <w:r w:rsidR="00CF2887" w:rsidRPr="00CC3FFF">
        <w:rPr>
          <w:rFonts w:ascii="Times New Roman" w:hAnsi="Times New Roman" w:cs="Times New Roman"/>
          <w:bCs/>
          <w:iCs/>
          <w:sz w:val="20"/>
          <w:szCs w:val="20"/>
        </w:rPr>
        <w:t xml:space="preserve"> </w:t>
      </w:r>
      <w:r w:rsidRPr="00CC3FFF">
        <w:rPr>
          <w:rFonts w:ascii="Times New Roman" w:hAnsi="Times New Roman" w:cs="Times New Roman"/>
          <w:bCs/>
          <w:iCs/>
          <w:sz w:val="20"/>
          <w:szCs w:val="20"/>
        </w:rPr>
        <w:t>mean RANTES levels were comparable to unstimulated controls and significantly lower than LPS-stimulated cells. Notably, MCP-1 production was markedly inhibited by most secretomes, with 83% of donor samples showing significant suppression. Additionally, the MFAT secretome did not affect the proliferation of either normal or cancer cells.</w:t>
      </w:r>
    </w:p>
    <w:p w14:paraId="24B93F22" w14:textId="01CAC92A" w:rsidR="00B059F7" w:rsidRPr="00CC3FFF" w:rsidRDefault="00B059F7" w:rsidP="00B059F7">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These findings demonstrate that MFAT releases bioactive factors capable of modulating inflammatory signaling pathways, supporting its therapeutic potential in inflammatory conditions. Beyond its anti-inflammatory properties, the MFAT secretome appears to be biologically safe and suggests that the clinical efficacy of MFAT in joint inflammation may be partly mediated through paracrine mechanisms.</w:t>
      </w:r>
    </w:p>
    <w:p w14:paraId="76ADB04A" w14:textId="5FFF2268" w:rsidR="009C2C61" w:rsidRPr="00CC3FFF" w:rsidRDefault="009C2C61" w:rsidP="009C2C61">
      <w:pPr>
        <w:adjustRightInd w:val="0"/>
        <w:snapToGrid w:val="0"/>
        <w:spacing w:line="260" w:lineRule="atLeast"/>
        <w:rPr>
          <w:rFonts w:ascii="Times New Roman" w:hAnsi="Times New Roman" w:cs="Times New Roman"/>
          <w:bCs/>
          <w:iCs/>
          <w:sz w:val="20"/>
          <w:szCs w:val="20"/>
        </w:rPr>
      </w:pPr>
    </w:p>
    <w:p w14:paraId="3A8B0603" w14:textId="2E21E071" w:rsidR="009C2C61" w:rsidRPr="00CC3FFF" w:rsidRDefault="001604DA" w:rsidP="009C2C61">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 xml:space="preserve">43. </w:t>
      </w:r>
      <w:r w:rsidR="00260D7D" w:rsidRPr="00CC3FFF">
        <w:rPr>
          <w:rFonts w:ascii="Times New Roman" w:hAnsi="Times New Roman" w:cs="Times New Roman"/>
          <w:b/>
          <w:bCs/>
          <w:iCs/>
          <w:caps/>
          <w:sz w:val="20"/>
          <w:szCs w:val="20"/>
        </w:rPr>
        <w:t>Perinatal stem cell spheroids for cell-based therapy in type 1 diabetes: immunomodulatory and differentiation properties</w:t>
      </w:r>
    </w:p>
    <w:p w14:paraId="7CFE383D" w14:textId="77777777" w:rsidR="00260D7D" w:rsidRPr="00CC3FFF" w:rsidRDefault="00260D7D" w:rsidP="009C2C61">
      <w:pPr>
        <w:adjustRightInd w:val="0"/>
        <w:snapToGrid w:val="0"/>
        <w:spacing w:line="260" w:lineRule="atLeast"/>
        <w:rPr>
          <w:rFonts w:ascii="Times New Roman" w:hAnsi="Times New Roman" w:cs="Times New Roman"/>
          <w:bCs/>
          <w:iCs/>
          <w:sz w:val="20"/>
          <w:szCs w:val="20"/>
        </w:rPr>
      </w:pPr>
    </w:p>
    <w:p w14:paraId="3DFF1A14" w14:textId="764E4645" w:rsidR="00260D7D" w:rsidRPr="00CC3FFF" w:rsidRDefault="00260D7D" w:rsidP="00260D7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F. Paris</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Rambaldi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Sodomaco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P. Marrazzo</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R. Costa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Cappellini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P. Lombardi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G.Simonazzi</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M. Lanari</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S. Ratti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Alviano</w:t>
      </w:r>
      <w:r w:rsidRPr="00CC3FFF">
        <w:rPr>
          <w:rFonts w:ascii="Times New Roman" w:hAnsi="Times New Roman" w:cs="Times New Roman"/>
          <w:bCs/>
          <w:iCs/>
          <w:sz w:val="20"/>
          <w:szCs w:val="20"/>
          <w:vertAlign w:val="superscript"/>
          <w:lang w:val="it-IT"/>
        </w:rPr>
        <w:t>1</w:t>
      </w:r>
    </w:p>
    <w:p w14:paraId="02726488" w14:textId="490ACA48" w:rsidR="009C2C61" w:rsidRPr="00CC3FFF" w:rsidRDefault="009C2C61" w:rsidP="009C2C61">
      <w:pPr>
        <w:adjustRightInd w:val="0"/>
        <w:snapToGrid w:val="0"/>
        <w:spacing w:line="260" w:lineRule="atLeast"/>
        <w:rPr>
          <w:rFonts w:ascii="Times New Roman" w:hAnsi="Times New Roman" w:cs="Times New Roman"/>
          <w:bCs/>
          <w:iCs/>
          <w:sz w:val="20"/>
          <w:szCs w:val="20"/>
          <w:lang w:val="it-IT"/>
        </w:rPr>
      </w:pPr>
    </w:p>
    <w:p w14:paraId="3D8268A5" w14:textId="33754C2A" w:rsidR="00260D7D" w:rsidRPr="00CC3FFF" w:rsidRDefault="00260D7D" w:rsidP="00260D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xml:space="preserve">Cellular Signalling Laboratory, Anatomy Center,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Biomedical and Neuromotor Sciences (DIBINEM), University of Bologna, Bologna, Italy</w:t>
      </w:r>
    </w:p>
    <w:p w14:paraId="4EF55350" w14:textId="5608A6C6" w:rsidR="00260D7D" w:rsidRPr="00CC3FFF" w:rsidRDefault="00260D7D" w:rsidP="00260D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CF2887"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Biomolecular Sciences, University of Urbino, Urbino, Italy</w:t>
      </w:r>
    </w:p>
    <w:p w14:paraId="348A07F1" w14:textId="7AB524E6" w:rsidR="00260D7D" w:rsidRPr="00CC3FFF" w:rsidRDefault="00260D7D" w:rsidP="00260D7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xml:space="preserve">Obstetrics Unit, </w:t>
      </w:r>
      <w:r w:rsidR="00AC5CDC">
        <w:rPr>
          <w:rFonts w:ascii="Times New Roman" w:hAnsi="Times New Roman" w:cs="Times New Roman"/>
          <w:bCs/>
          <w:iCs/>
          <w:sz w:val="20"/>
          <w:szCs w:val="20"/>
          <w:lang w:val="it-IT"/>
        </w:rPr>
        <w:t>Department</w:t>
      </w:r>
      <w:r w:rsidRPr="00CC3FFF">
        <w:rPr>
          <w:rFonts w:ascii="Times New Roman" w:hAnsi="Times New Roman" w:cs="Times New Roman"/>
          <w:bCs/>
          <w:iCs/>
          <w:sz w:val="20"/>
          <w:szCs w:val="20"/>
          <w:lang w:val="it-IT"/>
        </w:rPr>
        <w:t xml:space="preserve"> of Obstetrics and Gynecology, IRCCS Azienda Ospedaliero-Universitaria Sant’Orsola, Bologna, Italy</w:t>
      </w:r>
    </w:p>
    <w:p w14:paraId="2E5F8743" w14:textId="77777777" w:rsidR="00260D7D" w:rsidRPr="00CC3FFF" w:rsidRDefault="00260D7D" w:rsidP="00260D7D">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Pediatric Unit, IRCCS Azienda Ospedaliero-Universitaria di Bologna, Bologna, Italy</w:t>
      </w:r>
    </w:p>
    <w:p w14:paraId="4CA9CCA3" w14:textId="77777777" w:rsidR="009C2C61" w:rsidRPr="00CC3FFF" w:rsidRDefault="009C2C61" w:rsidP="009C2C61">
      <w:pPr>
        <w:adjustRightInd w:val="0"/>
        <w:snapToGrid w:val="0"/>
        <w:spacing w:line="260" w:lineRule="atLeast"/>
        <w:rPr>
          <w:rFonts w:ascii="Times New Roman" w:hAnsi="Times New Roman" w:cs="Times New Roman"/>
          <w:bCs/>
          <w:iCs/>
          <w:sz w:val="20"/>
          <w:szCs w:val="20"/>
          <w:lang w:val="it-IT"/>
        </w:rPr>
      </w:pPr>
    </w:p>
    <w:p w14:paraId="078330FD" w14:textId="07C7BDDF" w:rsidR="00260D7D" w:rsidRPr="00CC3FFF" w:rsidRDefault="00260D7D" w:rsidP="00260D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Type 1 diabetes mellitus (T1DM) is an autoimmune disease charachterized by immune-mediated</w:t>
      </w:r>
      <w:r w:rsidR="003445FB" w:rsidRPr="00CC3FFF">
        <w:rPr>
          <w:rFonts w:ascii="Times New Roman" w:hAnsi="Times New Roman" w:cs="Times New Roman"/>
          <w:bCs/>
          <w:iCs/>
          <w:sz w:val="20"/>
          <w:szCs w:val="20"/>
        </w:rPr>
        <w:t xml:space="preserve"> </w:t>
      </w:r>
      <w:r w:rsidRPr="00CC3FFF">
        <w:rPr>
          <w:rFonts w:ascii="Times New Roman" w:hAnsi="Times New Roman" w:cs="Times New Roman"/>
          <w:bCs/>
          <w:iCs/>
          <w:sz w:val="20"/>
          <w:szCs w:val="20"/>
        </w:rPr>
        <w:t>β-cells disruption, leading to persistent insulin deficiency. Among the different sources of stem cells available in regenerative medicine, perinatal stem cells (PSCs) represent an attractive source of cells due to their low immunogenicity and ethical accessibility. In particular, Wharton’s Jelly Mesenchymal Stem Cells (WJ-MSC) and Amniotic Epithelial Cells (AEC), have demonstrated immunomodulatory and pancreatic differentiation properties, respectively, making them suitable for cell-based therapy in TIDM. Moreover, PSCs are able to generate 3D structures in vitro, which better recapitulate the pancreatic microenvironment.</w:t>
      </w:r>
      <w:r w:rsidR="003445FB" w:rsidRPr="00CC3FFF">
        <w:rPr>
          <w:rFonts w:ascii="Times New Roman" w:hAnsi="Times New Roman" w:cs="Times New Roman"/>
          <w:bCs/>
          <w:iCs/>
          <w:sz w:val="20"/>
          <w:szCs w:val="20"/>
        </w:rPr>
        <w:t xml:space="preserve"> </w:t>
      </w:r>
      <w:r w:rsidRPr="00CC3FFF">
        <w:rPr>
          <w:rFonts w:ascii="Times New Roman" w:hAnsi="Times New Roman" w:cs="Times New Roman"/>
          <w:bCs/>
          <w:iCs/>
          <w:sz w:val="20"/>
          <w:szCs w:val="20"/>
        </w:rPr>
        <w:t>This study aims to evaluate the immunomodulatory and differentiative capacities of perinatal spheroids as potential candidates for T1DM therapy.</w:t>
      </w:r>
    </w:p>
    <w:p w14:paraId="11D3CCCE" w14:textId="4AB11C24" w:rsidR="00260D7D" w:rsidRPr="00CC3FFF" w:rsidRDefault="00260D7D" w:rsidP="00260D7D">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After isolation from the placental tissue, WJ-MSCs and AECs were aggregated in ultra-low attachment plates to generate three-dimensional spheroids. Spheroids were subsequently co-coltured with activated Pheripheral Blood Mononuclear Cells (PBMCs) to evaluate the immunomodulatory capacities of</w:t>
      </w:r>
      <w:r w:rsidR="003445FB" w:rsidRPr="00CC3FFF">
        <w:rPr>
          <w:rFonts w:ascii="Times New Roman" w:hAnsi="Times New Roman" w:cs="Times New Roman"/>
          <w:bCs/>
          <w:iCs/>
          <w:sz w:val="20"/>
          <w:szCs w:val="20"/>
        </w:rPr>
        <w:t xml:space="preserve"> </w:t>
      </w:r>
      <w:r w:rsidRPr="00CC3FFF">
        <w:rPr>
          <w:rFonts w:ascii="Times New Roman" w:hAnsi="Times New Roman" w:cs="Times New Roman"/>
          <w:bCs/>
          <w:iCs/>
          <w:sz w:val="20"/>
          <w:szCs w:val="20"/>
        </w:rPr>
        <w:t>the model. After the co-culture, PBMCs were collected and analyzed by flow cytometry to evaluate proliferation, apoptosis, and activation status, as well as the distribution of T cytotoxic cells and</w:t>
      </w:r>
      <w:r w:rsidR="003445FB" w:rsidRPr="00CC3FFF">
        <w:rPr>
          <w:rFonts w:ascii="Times New Roman" w:hAnsi="Times New Roman" w:cs="Times New Roman"/>
          <w:bCs/>
          <w:iCs/>
          <w:sz w:val="20"/>
          <w:szCs w:val="20"/>
        </w:rPr>
        <w:t xml:space="preserve"> </w:t>
      </w:r>
      <w:r w:rsidRPr="00CC3FFF">
        <w:rPr>
          <w:rFonts w:ascii="Times New Roman" w:hAnsi="Times New Roman" w:cs="Times New Roman"/>
          <w:bCs/>
          <w:iCs/>
          <w:sz w:val="20"/>
          <w:szCs w:val="20"/>
        </w:rPr>
        <w:t>T regulatory cells (Tregs). The differentiative capacity of AECs was evaluated using a commercial differentiation kit and the yield was evaluated through immunofluorescence staining.</w:t>
      </w:r>
    </w:p>
    <w:p w14:paraId="02B98227" w14:textId="5B203139" w:rsidR="00260D7D" w:rsidRPr="00CC3FFF" w:rsidRDefault="00260D7D" w:rsidP="00260D7D">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 xml:space="preserve">The perinatal spheroids exhibited significant immunomodulatory properties, reducing pro-inflammatory cell activation and promoting anti-inflammatory responses. AEC differentiated into insulin producing cells showed positivity for pancreatic markers. Spheroids formed with differentiated AECs, </w:t>
      </w:r>
      <w:r w:rsidRPr="00CC3FFF">
        <w:rPr>
          <w:rFonts w:ascii="Times New Roman" w:hAnsi="Times New Roman" w:cs="Times New Roman"/>
          <w:bCs/>
          <w:iCs/>
          <w:sz w:val="20"/>
          <w:szCs w:val="20"/>
        </w:rPr>
        <w:lastRenderedPageBreak/>
        <w:t>combined with undifferentiated WJ-MSCs successfully formed cohesive structures and demonstrated potential for insulin production.</w:t>
      </w:r>
    </w:p>
    <w:p w14:paraId="47396738" w14:textId="5C1A4A57" w:rsidR="00260D7D" w:rsidRPr="00CC3FFF" w:rsidRDefault="00260D7D" w:rsidP="00260D7D">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Perinatal spheroids represent a promising dual approach for developing new T1DM treatment. Their ability to modulate the immune system and differentiate into insulin-producing cells may address both the symptoms and underlying causes of T1DM, offering a comprehensive cellular therapy beyond traditional insulin replacement.</w:t>
      </w:r>
    </w:p>
    <w:p w14:paraId="71EF3632" w14:textId="6CB765AF" w:rsidR="00222F17" w:rsidRPr="00CC3FFF" w:rsidRDefault="00222F17" w:rsidP="009C2C61">
      <w:pPr>
        <w:adjustRightInd w:val="0"/>
        <w:snapToGrid w:val="0"/>
        <w:spacing w:line="260" w:lineRule="atLeast"/>
        <w:rPr>
          <w:rFonts w:ascii="Times New Roman" w:hAnsi="Times New Roman" w:cs="Times New Roman"/>
          <w:bCs/>
          <w:iCs/>
          <w:sz w:val="20"/>
          <w:szCs w:val="20"/>
        </w:rPr>
      </w:pPr>
    </w:p>
    <w:p w14:paraId="7A0589E4" w14:textId="241D4E08" w:rsidR="00222F17" w:rsidRPr="00CC3FFF" w:rsidRDefault="001604DA" w:rsidP="00222F17">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44</w:t>
      </w:r>
      <w:r w:rsidRPr="00CC3FFF">
        <w:rPr>
          <w:rFonts w:ascii="Times New Roman" w:hAnsi="Times New Roman" w:cs="Times New Roman"/>
          <w:b/>
          <w:bCs/>
          <w:iCs/>
          <w:caps/>
          <w:sz w:val="20"/>
          <w:szCs w:val="20"/>
        </w:rPr>
        <w:t xml:space="preserve">. </w:t>
      </w:r>
      <w:r w:rsidR="00D07F2E" w:rsidRPr="00CC3FFF">
        <w:rPr>
          <w:rFonts w:ascii="Times New Roman" w:hAnsi="Times New Roman" w:cs="Times New Roman"/>
          <w:b/>
          <w:bCs/>
          <w:iCs/>
          <w:caps/>
          <w:sz w:val="20"/>
          <w:szCs w:val="20"/>
        </w:rPr>
        <w:t>Multilineage-Differentiating Stress-Enduring (MUSE) cells as an innovative in vitro cellular model to study mood and psychotic disorders</w:t>
      </w:r>
    </w:p>
    <w:p w14:paraId="0692F0F1" w14:textId="77777777" w:rsidR="00D07F2E" w:rsidRPr="00CC3FFF" w:rsidRDefault="00D07F2E" w:rsidP="00222F17">
      <w:pPr>
        <w:adjustRightInd w:val="0"/>
        <w:snapToGrid w:val="0"/>
        <w:spacing w:line="260" w:lineRule="atLeast"/>
        <w:rPr>
          <w:rFonts w:ascii="Times New Roman" w:hAnsi="Times New Roman" w:cs="Times New Roman"/>
          <w:bCs/>
          <w:iCs/>
          <w:caps/>
          <w:sz w:val="20"/>
          <w:szCs w:val="20"/>
        </w:rPr>
      </w:pPr>
    </w:p>
    <w:p w14:paraId="02819109" w14:textId="25C0FB03" w:rsidR="00D07F2E" w:rsidRPr="00CC3FFF" w:rsidRDefault="00D07F2E" w:rsidP="00D07F2E">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D. Patrone</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D. Aprile</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N. Alessio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D. Siniscalco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Di Bernardo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U. Galderisi</w:t>
      </w:r>
      <w:r w:rsidRPr="00CC3FFF">
        <w:rPr>
          <w:rFonts w:ascii="Times New Roman" w:hAnsi="Times New Roman" w:cs="Times New Roman"/>
          <w:bCs/>
          <w:iCs/>
          <w:sz w:val="20"/>
          <w:szCs w:val="20"/>
          <w:vertAlign w:val="superscript"/>
          <w:lang w:val="it-IT"/>
        </w:rPr>
        <w:t>1,2,3</w:t>
      </w:r>
    </w:p>
    <w:p w14:paraId="716882C4" w14:textId="77777777" w:rsidR="00D07F2E" w:rsidRPr="00CC3FFF" w:rsidRDefault="00D07F2E" w:rsidP="00D07F2E">
      <w:pPr>
        <w:adjustRightInd w:val="0"/>
        <w:snapToGrid w:val="0"/>
        <w:spacing w:line="260" w:lineRule="atLeast"/>
        <w:rPr>
          <w:rFonts w:ascii="Times New Roman" w:hAnsi="Times New Roman" w:cs="Times New Roman"/>
          <w:bCs/>
          <w:iCs/>
          <w:sz w:val="20"/>
          <w:szCs w:val="20"/>
          <w:lang w:val="it-IT"/>
        </w:rPr>
      </w:pPr>
    </w:p>
    <w:p w14:paraId="6F77EBF9" w14:textId="37E07453" w:rsidR="00D07F2E" w:rsidRPr="00CC3FFF" w:rsidRDefault="00D07F2E" w:rsidP="00D07F2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Department of Experimental Medicine, Division of Biotechnology, and Molecular Biology, University of Campania “Luigi Vanvitelli”, Naples, Italy</w:t>
      </w:r>
    </w:p>
    <w:p w14:paraId="66A4A34B" w14:textId="77777777" w:rsidR="00D07F2E" w:rsidRPr="00CC3FFF" w:rsidRDefault="00D07F2E" w:rsidP="00D07F2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Department of Biology, Faculty of Science, Erciyes University, Kayseri, Turkey</w:t>
      </w:r>
    </w:p>
    <w:p w14:paraId="55196D8E" w14:textId="6FD1FF6D" w:rsidR="00D07F2E" w:rsidRPr="00CC3FFF" w:rsidRDefault="00D07F2E" w:rsidP="00D07F2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Sbarro Health Research Organization, Temple University, Philadelphia, USA</w:t>
      </w:r>
    </w:p>
    <w:p w14:paraId="13EA38AD" w14:textId="6AF504B1" w:rsidR="00222F17" w:rsidRPr="00CC3FFF" w:rsidRDefault="00222F17" w:rsidP="00222F17">
      <w:pPr>
        <w:adjustRightInd w:val="0"/>
        <w:snapToGrid w:val="0"/>
        <w:spacing w:line="260" w:lineRule="atLeast"/>
        <w:rPr>
          <w:rFonts w:ascii="Times New Roman" w:hAnsi="Times New Roman" w:cs="Times New Roman"/>
          <w:bCs/>
          <w:iCs/>
          <w:sz w:val="20"/>
          <w:szCs w:val="20"/>
        </w:rPr>
      </w:pPr>
    </w:p>
    <w:p w14:paraId="670EA8A0" w14:textId="77777777" w:rsidR="003445FB" w:rsidRPr="00CC3FFF" w:rsidRDefault="003445FB" w:rsidP="00D07F2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OBJECTIVE: </w:t>
      </w:r>
      <w:r w:rsidR="00D07F2E" w:rsidRPr="00CC3FFF">
        <w:rPr>
          <w:rFonts w:ascii="Times New Roman" w:hAnsi="Times New Roman" w:cs="Times New Roman"/>
          <w:bCs/>
          <w:iCs/>
          <w:sz w:val="20"/>
          <w:szCs w:val="20"/>
        </w:rPr>
        <w:t>Psychotic and mood disorders, such as schizophrenia (SCZ), bipolar disorder (BD) and autism, share anomalies in neurodevelopmental processes, often linked to dysfunctions in synaptic transmission. While induced pluripotent stem cells (iPSCs) have been valuable tools for studying these conditions, they present some limitations in replicating physiological environments.</w:t>
      </w:r>
      <w:r w:rsidRPr="00CC3FFF">
        <w:rPr>
          <w:rFonts w:ascii="Times New Roman" w:hAnsi="Times New Roman" w:cs="Times New Roman"/>
          <w:bCs/>
          <w:iCs/>
          <w:sz w:val="20"/>
          <w:szCs w:val="20"/>
        </w:rPr>
        <w:t xml:space="preserve"> </w:t>
      </w:r>
      <w:r w:rsidR="00D07F2E" w:rsidRPr="00CC3FFF">
        <w:rPr>
          <w:rFonts w:ascii="Times New Roman" w:hAnsi="Times New Roman" w:cs="Times New Roman"/>
          <w:bCs/>
          <w:iCs/>
          <w:sz w:val="20"/>
          <w:szCs w:val="20"/>
        </w:rPr>
        <w:t>Multilineage-differentiating stress-enduring (MUSE) cells represent a promising alternative in vitro model due to their endogenous origin, stress resistance, and ability to differentiate into cells from t</w:t>
      </w:r>
      <w:r w:rsidRPr="00CC3FFF">
        <w:rPr>
          <w:rFonts w:ascii="Times New Roman" w:hAnsi="Times New Roman" w:cs="Times New Roman"/>
          <w:bCs/>
          <w:iCs/>
          <w:sz w:val="20"/>
          <w:szCs w:val="20"/>
        </w:rPr>
        <w:t>he three embryonic germ layers.</w:t>
      </w:r>
    </w:p>
    <w:p w14:paraId="5C223FDE" w14:textId="34AE2E09" w:rsidR="00D07F2E" w:rsidRPr="00CC3FFF" w:rsidRDefault="003445FB" w:rsidP="00D07F2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MATERIALS AND METHODS: </w:t>
      </w:r>
      <w:r w:rsidR="00D07F2E" w:rsidRPr="00CC3FFF">
        <w:rPr>
          <w:rFonts w:ascii="Times New Roman" w:hAnsi="Times New Roman" w:cs="Times New Roman"/>
          <w:bCs/>
          <w:iCs/>
          <w:sz w:val="20"/>
          <w:szCs w:val="20"/>
        </w:rPr>
        <w:t>In this study, we used fibroblast-derived MUSE cells, obtained via skin biopsy from healthy individuals and patients with SCZ and BD, to develop an in vitro neuronal model. Cells were differentiated through neuro-glial induction protocols, and the resulting neurons were analyzed for morphology, gene expression, protein expression, and functionality. Preliminary findings show that MUSE cells can differentiate into GABAergic, dopaminergic, and glutamatergic neurons, displaying morphological and molecular features comparable to brain neurons.</w:t>
      </w:r>
    </w:p>
    <w:p w14:paraId="28F90250" w14:textId="15D556B5" w:rsidR="00D07F2E" w:rsidRPr="00CC3FFF" w:rsidRDefault="003445FB" w:rsidP="00D07F2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RESULTS: </w:t>
      </w:r>
      <w:r w:rsidR="00D07F2E" w:rsidRPr="00CC3FFF">
        <w:rPr>
          <w:rFonts w:ascii="Times New Roman" w:hAnsi="Times New Roman" w:cs="Times New Roman"/>
          <w:bCs/>
          <w:iCs/>
          <w:sz w:val="20"/>
          <w:szCs w:val="20"/>
        </w:rPr>
        <w:t>MUSE cells derived from patients showed reduced expression of stemness markers and increased levels of apoptosis and senescence compared to those from healthy subjects. Following neural differentiation, we observed alterations in neuronal morphology and gene expression in patient-derived cells.</w:t>
      </w:r>
    </w:p>
    <w:p w14:paraId="21B98DD1" w14:textId="53FCFE7C" w:rsidR="00D07F2E" w:rsidRPr="00CC3FFF" w:rsidRDefault="003445FB" w:rsidP="00D07F2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CONCLUSIONS: </w:t>
      </w:r>
      <w:r w:rsidR="00D07F2E" w:rsidRPr="00CC3FFF">
        <w:rPr>
          <w:rFonts w:ascii="Times New Roman" w:hAnsi="Times New Roman" w:cs="Times New Roman"/>
          <w:bCs/>
          <w:iCs/>
          <w:sz w:val="20"/>
          <w:szCs w:val="20"/>
        </w:rPr>
        <w:t>These findings highlight the potential of MUSE cells as an innovative and physiologically relevant model for studying neuropsychiatric disorders. This approach may contribute to a better understanding of</w:t>
      </w:r>
      <w:r w:rsidRPr="00CC3FFF">
        <w:rPr>
          <w:rFonts w:ascii="Times New Roman" w:hAnsi="Times New Roman" w:cs="Times New Roman"/>
          <w:bCs/>
          <w:iCs/>
          <w:sz w:val="20"/>
          <w:szCs w:val="20"/>
        </w:rPr>
        <w:t xml:space="preserve"> </w:t>
      </w:r>
      <w:r w:rsidR="00D07F2E" w:rsidRPr="00CC3FFF">
        <w:rPr>
          <w:rFonts w:ascii="Times New Roman" w:hAnsi="Times New Roman" w:cs="Times New Roman"/>
          <w:bCs/>
          <w:iCs/>
          <w:sz w:val="20"/>
          <w:szCs w:val="20"/>
        </w:rPr>
        <w:t>the molecular and cellular mechanisms underlying psychotic and mood disorders and support the development of future targeted therapies.</w:t>
      </w:r>
    </w:p>
    <w:p w14:paraId="1B8D11F4" w14:textId="0EE26E00" w:rsidR="00222F17" w:rsidRPr="00CC3FFF" w:rsidRDefault="00222F17" w:rsidP="00222F17">
      <w:pPr>
        <w:adjustRightInd w:val="0"/>
        <w:snapToGrid w:val="0"/>
        <w:spacing w:line="260" w:lineRule="atLeast"/>
        <w:rPr>
          <w:rFonts w:ascii="Times New Roman" w:hAnsi="Times New Roman" w:cs="Times New Roman"/>
          <w:bCs/>
          <w:iCs/>
          <w:sz w:val="20"/>
          <w:szCs w:val="20"/>
        </w:rPr>
      </w:pPr>
    </w:p>
    <w:p w14:paraId="5A71280F" w14:textId="12AA5621" w:rsidR="00C31F2C" w:rsidRPr="00CC3FFF" w:rsidRDefault="00AB20BA" w:rsidP="00C31F2C">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45</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The potential of decellularized Wharton’s jelly as a bioscaffold in stimulating cellular functional recovery</w:t>
      </w:r>
      <w:r w:rsidR="00C31F2C" w:rsidRPr="00CC3FFF">
        <w:rPr>
          <w:rFonts w:ascii="Times New Roman" w:hAnsi="Times New Roman" w:cs="Times New Roman"/>
          <w:b/>
          <w:bCs/>
          <w:iCs/>
          <w:sz w:val="20"/>
          <w:szCs w:val="18"/>
        </w:rPr>
        <w:t xml:space="preserve"> </w:t>
      </w:r>
    </w:p>
    <w:p w14:paraId="421AA017"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127C67A1" w14:textId="42CB5105" w:rsidR="00C31F2C" w:rsidRPr="00CC3FFF" w:rsidRDefault="00AB20BA" w:rsidP="00C31F2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L. Penolazzi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A. Chierici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G. D’Atri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C. Manferdini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R. Nadalini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C. Nastruzzi</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G. Lisignoli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R. Piva</w:t>
      </w:r>
      <w:r w:rsidRPr="00CC3FFF">
        <w:rPr>
          <w:rFonts w:ascii="Times New Roman" w:hAnsi="Times New Roman" w:cs="Times New Roman"/>
          <w:bCs/>
          <w:iCs/>
          <w:sz w:val="20"/>
          <w:szCs w:val="18"/>
          <w:vertAlign w:val="superscript"/>
          <w:lang w:val="it-IT"/>
        </w:rPr>
        <w:t>1</w:t>
      </w:r>
    </w:p>
    <w:p w14:paraId="49A033B9"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7C38AA67" w14:textId="14CCD235" w:rsidR="00AB20BA" w:rsidRPr="00CC3FFF" w:rsidRDefault="00AB20BA" w:rsidP="00AB20B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Neuroscience and Rehabilitation, University of Ferrara, Ferrara, Italy</w:t>
      </w:r>
    </w:p>
    <w:p w14:paraId="24EE2D0D" w14:textId="77777777" w:rsidR="00AB20BA" w:rsidRPr="00CC3FFF" w:rsidRDefault="00AB20BA" w:rsidP="00AB20BA">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IRCCS Istituto Ortopedico Rizzoli, Laboratorio di Immunoreumatologia e Rigenerazione Tissutale, Bologna, Italy</w:t>
      </w:r>
    </w:p>
    <w:p w14:paraId="4BEA6FB5" w14:textId="3F8A2330" w:rsidR="00C31F2C" w:rsidRPr="00CC3FFF" w:rsidRDefault="00AB20BA" w:rsidP="00AB20B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Chemical, Pharmaceutical and Agricultural Sciences, University of Ferrara, Ferrara, Italy</w:t>
      </w:r>
    </w:p>
    <w:p w14:paraId="7BCC5E33"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592C73FC" w14:textId="474F7338" w:rsidR="00AB20BA" w:rsidRPr="00CC3FFF" w:rsidRDefault="00AB20BA" w:rsidP="00AB20B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 xml:space="preserve">The principal aims of the study are i. to create an experimental model using bioinspired scaffolds based on umbilical cord decellularized Wharton’s jelly (DWJ) for application in human intervertebral disc and cartilage tissue engineering, and ii. to provide a standardized protocol for the </w:t>
      </w:r>
      <w:r w:rsidRPr="00CC3FFF">
        <w:rPr>
          <w:rFonts w:ascii="Times New Roman" w:hAnsi="Times New Roman" w:cs="Times New Roman"/>
          <w:bCs/>
          <w:iCs/>
          <w:sz w:val="20"/>
          <w:szCs w:val="18"/>
        </w:rPr>
        <w:lastRenderedPageBreak/>
        <w:t>production of high-performance DWJ-based millicylindrical scaffolds to be used to study the behavior of chondrocytes and chondrocyte-like cells such as IVD cells under controlled conditions.</w:t>
      </w:r>
    </w:p>
    <w:p w14:paraId="50645830" w14:textId="0B21A02B" w:rsidR="00AB20BA" w:rsidRPr="00CC3FFF" w:rsidRDefault="00AB20BA" w:rsidP="00AB20B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We focused on A075W3, a composite hydrogel containing 0.75 % (w/v) alginate and 3% (w/v) DWJ, produced through various steps including DWJ homogenization, meshing and freeze-drying. The hydrogel was subjected to compression loading with a FlexCell system, achieving a compromise between absorbing a mechanical stimulus and maintaining structural integrity to allow subsequent evaluation of the effects on the cells combined with it. The optimized protocol involved maintaining A075W3 in culture medium for 7 days, followed by loading for 2 days (range 0–4 kPa, frequency 0.5 Hz, duty cycle 50%, time/day 30 min, twice daily with a 3-hour break). Cells expanded were then combined with A075W3 by surface seeding and monitored for viability, eATP production, expression of genes related to discogenic differentiation, maintenance of IVD homeostasis and mechanical load signaling.</w:t>
      </w:r>
    </w:p>
    <w:p w14:paraId="484C5ABF" w14:textId="1F54687F" w:rsidR="00AB20BA" w:rsidRPr="00CC3FFF" w:rsidRDefault="00AB20BA" w:rsidP="00AB20B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We demonstrated that the 3D condition, the presence of DWJ, and exposure to adequate mechanical loading promote the functional recovery of damaged IVD cells, which are viable and regain a chondrocyte-like phenotype lost during tissue degeneration. Immunohistochemical analysis showed that mechanical loading positively affects the expression of SOX9 (the master regulator of chondrogenesis), Brachyury, and Integrin 1β, only partially SIRT1, while induces a decrease in Forkhead Box O3 (FOXO3a) and its target, superoxide dismutase-2 (SOD2). The purinergic receptor P2X7 expression remained unchanged.</w:t>
      </w:r>
    </w:p>
    <w:p w14:paraId="611F5DB5" w14:textId="35181F31" w:rsidR="00C31F2C" w:rsidRPr="00CC3FFF" w:rsidRDefault="00AB20BA" w:rsidP="00AB20BA">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Through the development of a meticulous protocol, we obtained DWJ-based scaffolds capable of maintaining structural integrity, responsiveness to mechanical stimuli, and pro-anabolic properties over time. Understanding the quantitative relationship between mechanical loading and gene expression can contribute to a better understanding of IVD mechanobiology, with the aim of optimizing repair techniques through cellular, molecular, and tissue engineering approaches.</w:t>
      </w:r>
    </w:p>
    <w:p w14:paraId="0B5AE2AA"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38B65B8A" w14:textId="2A8C3356" w:rsidR="00C31F2C" w:rsidRPr="00CC3FFF" w:rsidRDefault="005112CC" w:rsidP="00C31F2C">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46</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Characterization of human dermis-derived mesenchymal stem cells during long-term in vitro culture and stress conditions</w:t>
      </w:r>
    </w:p>
    <w:p w14:paraId="46E2976C"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4D63A6BF" w14:textId="28D8EE25" w:rsidR="005112CC" w:rsidRPr="00CC3FFF" w:rsidRDefault="005112CC" w:rsidP="005112C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G. Petrocelli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F. Decataldo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R. Tassinari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P. M. Abruzzo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K. Sohrabian</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T. Cramer</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F. Facchin</w:t>
      </w:r>
      <w:r w:rsidRPr="00CC3FFF">
        <w:rPr>
          <w:rFonts w:ascii="Times New Roman" w:hAnsi="Times New Roman" w:cs="Times New Roman"/>
          <w:bCs/>
          <w:iCs/>
          <w:sz w:val="20"/>
          <w:szCs w:val="18"/>
          <w:vertAlign w:val="superscript"/>
          <w:lang w:val="it-IT"/>
        </w:rPr>
        <w:t>1,4</w:t>
      </w:r>
      <w:r w:rsidRPr="00CC3FFF">
        <w:rPr>
          <w:rFonts w:ascii="Times New Roman" w:hAnsi="Times New Roman" w:cs="Times New Roman"/>
          <w:bCs/>
          <w:iCs/>
          <w:sz w:val="20"/>
          <w:szCs w:val="18"/>
          <w:lang w:val="it-IT"/>
        </w:rPr>
        <w:t>, S. Canaider</w:t>
      </w:r>
      <w:r w:rsidRPr="00CC3FFF">
        <w:rPr>
          <w:rFonts w:ascii="Times New Roman" w:hAnsi="Times New Roman" w:cs="Times New Roman"/>
          <w:bCs/>
          <w:iCs/>
          <w:sz w:val="20"/>
          <w:szCs w:val="18"/>
          <w:vertAlign w:val="superscript"/>
          <w:lang w:val="it-IT"/>
        </w:rPr>
        <w:t>1,4</w:t>
      </w:r>
    </w:p>
    <w:p w14:paraId="5DA066B8"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6D46DCB0" w14:textId="67C5FF32" w:rsidR="005112CC" w:rsidRPr="00CC3FFF" w:rsidRDefault="005112CC" w:rsidP="005112C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Pr="00CC3FFF">
        <w:rPr>
          <w:rFonts w:ascii="Times New Roman" w:hAnsi="Times New Roman" w:cs="Times New Roman"/>
          <w:bCs/>
          <w:iCs/>
          <w:sz w:val="20"/>
          <w:szCs w:val="18"/>
        </w:rPr>
        <w:t>Dep</w:t>
      </w:r>
      <w:r w:rsidR="00E54AF4"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Medical and Surgical Sciences (DIMEC), Bologna, Italy</w:t>
      </w:r>
    </w:p>
    <w:p w14:paraId="528D36C9" w14:textId="77777777" w:rsidR="005112CC" w:rsidRPr="00CC3FFF" w:rsidRDefault="005112CC" w:rsidP="005112C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National Laboratory of Molecular Biology and Stem Cell Bioengineering of the National Institute of Biostructures and Biosystems (NIBB) c/o Eldor Lab, Bologna, Italy</w:t>
      </w:r>
    </w:p>
    <w:p w14:paraId="0E7B97C3" w14:textId="554E1950" w:rsidR="005112CC" w:rsidRPr="00CC3FFF" w:rsidRDefault="005112CC" w:rsidP="005112C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Dep</w:t>
      </w:r>
      <w:r w:rsidR="00E54AF4"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Physics and Astronomy “Augusto Righi” (DIFA), Bologna, Italy</w:t>
      </w:r>
    </w:p>
    <w:p w14:paraId="5AEA9101" w14:textId="3679C60B" w:rsidR="00C31F2C" w:rsidRPr="00CC3FFF" w:rsidRDefault="005112CC" w:rsidP="005112C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IRCCS Azienda Ospedaliero-Universitaria di Bologna, Bologna, Italy</w:t>
      </w:r>
    </w:p>
    <w:p w14:paraId="73C9A76E"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07DD0EDC" w14:textId="3310FF5D" w:rsidR="005112CC" w:rsidRPr="00CC3FFF" w:rsidRDefault="005112CC" w:rsidP="005112C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Stem cells (SCs) are widely used in regenerative medicine due to their ability to migrate to injured tissues and promote repair. Among SCs, mesenchymal stem cells (MSCs) are particularly promising due to easy isolation and low donor risk, but they undergo replicative senescence during in vitro expansion, leading to irreversible growth arrest and reduced survival and differentiation. Understanding the mechanisms of MSC senescence is therefore essential to improve therapeutic outcomes. In this context, this study aimed to investigate the molecular and physical changes of human dermis-derived MSCs (hDMSCs) during long-term culture and to compare them with cells treated with a senescence inducer.</w:t>
      </w:r>
    </w:p>
    <w:p w14:paraId="3B171107" w14:textId="5DFE3FC6" w:rsidR="005112CC" w:rsidRPr="00CC3FFF" w:rsidRDefault="005112CC" w:rsidP="005112C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 xml:space="preserve">hDMSCs were isolated from the dermis of 3 healthy donors after informed consent and were characterized before use. All investigations were performed on cells at passages (p) 4-28. In addition, p4 cells were treated for 3 hours with tert-butyl hydroperoxide (t-BHP) 50 µM, a well-known senescence inducer. Cell proliferation was assessed by bromodeoxiuridine (BrdU) assay combined with Ki-67 gene expression analysis. The expression of cell cycle and senescence markers was analyzed by real-time PCR and immunofluorescence. The senescence phenotype was further evaluated by senescence-associated β-galactosidase (SA-β-Gal) staining, as well as by cell stiffness analysis. The mechanical response of the cell membrane was investigated by atomic force microscopy (AFM) </w:t>
      </w:r>
      <w:r w:rsidRPr="00CC3FFF">
        <w:rPr>
          <w:rFonts w:ascii="Times New Roman" w:hAnsi="Times New Roman" w:cs="Times New Roman"/>
          <w:bCs/>
          <w:iCs/>
          <w:sz w:val="20"/>
          <w:szCs w:val="18"/>
        </w:rPr>
        <w:lastRenderedPageBreak/>
        <w:t>indentation experiments on young (p4-p8) and old (p24-p28) hDMSCs.</w:t>
      </w:r>
    </w:p>
    <w:p w14:paraId="19155DE0" w14:textId="797E468B" w:rsidR="005112CC" w:rsidRPr="00CC3FFF" w:rsidRDefault="005112CC" w:rsidP="005112C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Our data show a progressive increase in hDMSC senescence during long-term in vitro culture, supported by reduced proliferative capacity and altered expression of cell cycle markers (p53, p21, p16, and Cyclin D1). Senescence was further confirmed by increased β-gal+ cells, changes in γH2AX and HMGB1 expression, elevated vimentin levels, and specific alterations in the mechanical properties of cell membrane. Notably, differences in marker modulation between t-BHP-treated and long-cultured cells could suggest the involvement of distinct molecular pathways.</w:t>
      </w:r>
    </w:p>
    <w:p w14:paraId="5D1044A1" w14:textId="1127736D" w:rsidR="00C31F2C" w:rsidRPr="00CC3FFF" w:rsidRDefault="005112CC" w:rsidP="005112C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hDMSCs maintain a youthful phenotype and sustained proliferative capacity during prolonged in vitro culture. Senescence-associated changes emerge mainly at late passages, with a greater proliferative decline than in t-BHP-treated cells, highlighting fundamental differences between replicative and chemically induced senescence.</w:t>
      </w:r>
    </w:p>
    <w:p w14:paraId="5425AE8D"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44A63DCD" w14:textId="23F3537B" w:rsidR="00C31F2C" w:rsidRPr="00CC3FFF" w:rsidRDefault="007C5E9F" w:rsidP="00C31F2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
          <w:bCs/>
          <w:iCs/>
          <w:sz w:val="20"/>
          <w:szCs w:val="18"/>
        </w:rPr>
        <w:t>47</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A humanized 3D bioprinted model for studying breast cancer bone metastasis</w:t>
      </w:r>
    </w:p>
    <w:p w14:paraId="389DAE80"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143C33DA" w14:textId="6CDB2079" w:rsidR="00C31F2C" w:rsidRPr="00CC3FFF" w:rsidRDefault="007C5E9F" w:rsidP="00C31F2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S. Pontara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F. Gennaro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 Mastracci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 Mastrogiacomo</w:t>
      </w:r>
      <w:r w:rsidRPr="00CC3FFF">
        <w:rPr>
          <w:rFonts w:ascii="Times New Roman" w:hAnsi="Times New Roman" w:cs="Times New Roman"/>
          <w:bCs/>
          <w:iCs/>
          <w:sz w:val="20"/>
          <w:szCs w:val="18"/>
          <w:vertAlign w:val="superscript"/>
          <w:lang w:val="it-IT"/>
        </w:rPr>
        <w:t>3,5</w:t>
      </w:r>
      <w:r w:rsidRPr="00CC3FFF">
        <w:rPr>
          <w:rFonts w:ascii="Times New Roman" w:hAnsi="Times New Roman" w:cs="Times New Roman"/>
          <w:bCs/>
          <w:iCs/>
          <w:sz w:val="20"/>
          <w:szCs w:val="18"/>
          <w:lang w:val="it-IT"/>
        </w:rPr>
        <w:t>, C. Mota</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C. Gentili</w:t>
      </w:r>
      <w:r w:rsidRPr="00CC3FFF">
        <w:rPr>
          <w:rFonts w:ascii="Times New Roman" w:hAnsi="Times New Roman" w:cs="Times New Roman"/>
          <w:bCs/>
          <w:iCs/>
          <w:sz w:val="20"/>
          <w:szCs w:val="18"/>
          <w:vertAlign w:val="superscript"/>
          <w:lang w:val="it-IT"/>
        </w:rPr>
        <w:t>1,6</w:t>
      </w:r>
    </w:p>
    <w:p w14:paraId="649DF362"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28EB7841" w14:textId="7D938ECE" w:rsidR="007C5E9F"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Pr="00CC3FFF">
        <w:rPr>
          <w:rFonts w:ascii="Times New Roman" w:hAnsi="Times New Roman" w:cs="Times New Roman"/>
          <w:bCs/>
          <w:iCs/>
          <w:sz w:val="20"/>
          <w:szCs w:val="18"/>
        </w:rPr>
        <w:t>Dep</w:t>
      </w:r>
      <w:r w:rsidR="00CF4F57"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Experimental Medicine (DIMES), University of Genoa, Genoa, Italy</w:t>
      </w:r>
    </w:p>
    <w:p w14:paraId="6C710FD5" w14:textId="77777777" w:rsidR="007C5E9F"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San Martino Hospital, Pathological Anatomy, Genoa, Italy</w:t>
      </w:r>
    </w:p>
    <w:p w14:paraId="48793D63" w14:textId="4AFE7517" w:rsidR="007C5E9F"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Dep</w:t>
      </w:r>
      <w:r w:rsidR="00CF4F57"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Internal Medicine and Medical Specialties (DIMI), Genoa, Italy</w:t>
      </w:r>
    </w:p>
    <w:p w14:paraId="6E34E517" w14:textId="77777777" w:rsidR="007C5E9F"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4</w:t>
      </w:r>
      <w:r w:rsidRPr="00CC3FFF">
        <w:rPr>
          <w:rFonts w:ascii="Times New Roman" w:hAnsi="Times New Roman" w:cs="Times New Roman"/>
          <w:bCs/>
          <w:iCs/>
          <w:sz w:val="20"/>
          <w:szCs w:val="18"/>
        </w:rPr>
        <w:t>Institute for Technology-Inspired Regenerative Medicine (MERLN), Maastricht, Netherlands</w:t>
      </w:r>
    </w:p>
    <w:p w14:paraId="7E45934B" w14:textId="77777777" w:rsidR="007C5E9F"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5</w:t>
      </w:r>
      <w:r w:rsidRPr="00CC3FFF">
        <w:rPr>
          <w:rFonts w:ascii="Times New Roman" w:hAnsi="Times New Roman" w:cs="Times New Roman"/>
          <w:bCs/>
          <w:iCs/>
          <w:sz w:val="20"/>
          <w:szCs w:val="18"/>
        </w:rPr>
        <w:t>Bioteraphy IRCCS, San Martino Hospital, Genoa, Italy</w:t>
      </w:r>
    </w:p>
    <w:p w14:paraId="1651FC34" w14:textId="4E30B2D6" w:rsidR="00C31F2C"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6</w:t>
      </w:r>
      <w:r w:rsidRPr="00CC3FFF">
        <w:rPr>
          <w:rFonts w:ascii="Times New Roman" w:hAnsi="Times New Roman" w:cs="Times New Roman"/>
          <w:bCs/>
          <w:iCs/>
          <w:sz w:val="20"/>
          <w:szCs w:val="18"/>
        </w:rPr>
        <w:t>UO: Cellular Oncology, San Martino Hospital, Genoa, Italy</w:t>
      </w:r>
    </w:p>
    <w:p w14:paraId="624505A5"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55667EF6" w14:textId="4C14EE5F" w:rsidR="007C5E9F"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Breast cancer shows a marked propensity to metastasize to bone, where tumor–stroma interactions contribute to osteolytic lesions and disease progression. This study aimed to develop a humanized, physiomimetic in vitro platform capable of reproducing key biological features of breast-to-bone metastasis, while enabling future vascularization and advanced microenvironmental modeling.</w:t>
      </w:r>
    </w:p>
    <w:p w14:paraId="529B424D" w14:textId="52CEE003" w:rsidR="007C5E9F"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Breast tumor constructs were generated by 3D bioprinting Laminink 111 bioink enriched with metastatic breast cancer cells (MDA-MB-231), non-tumorigenic mammary epithelial cells (MCF-10A), and decellularized human mammary extracellular matrix to better recapitulate biochemical and mechanical tumor cues. Bone tissue was modeled using two complementary approaches: a 3D bioprinted Cellink Bone scaffold containing human mesenchymal stem cells, and a β-tricalcium phosphate/ hydroxyapatite ceramic scaffold combined with fibrin, both supporting osteogenic differentiation and matrix mineralization. Tumor and bone constructs were integrated in a Transwell co-culture system to allow paracrine signaling and directional tumor cell migration.</w:t>
      </w:r>
    </w:p>
    <w:p w14:paraId="4ABCAD59" w14:textId="5BD8D199" w:rsidR="007C5E9F"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The integrated system successfully reproduced breast cancer osteotropism, as evidenced by the migration of GFP-labeled MDA-MB-231 cells toward bone constructs and the activation of tumor–bone crosstalk. Both bone models maintained osteogenic features in co-culture conditions. To further enhance model complexity, in ovo chorioallantoic membrane (CAM) assays were initiated to promote pre-vascularization of bone scaffolds, supporting vessel ingrowth and improved nutrient diffusion. In</w:t>
      </w:r>
    </w:p>
    <w:p w14:paraId="43530533" w14:textId="77777777" w:rsidR="007C5E9F"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parallel, decellularization of neoplastic mammary tissue was performed to generate tumor-specific ECM-based bioinks.</w:t>
      </w:r>
    </w:p>
    <w:p w14:paraId="3F03448C" w14:textId="098F26EE" w:rsidR="00C31F2C" w:rsidRPr="00CC3FFF" w:rsidRDefault="007C5E9F" w:rsidP="007C5E9F">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This humanized and modular 3D bioprinted platform provides a reproducible tool for modeling breast cancer bone metastasis. The integration of vascularization strategies and tumor-derived extracellular matrices further enhances physiological relevance, supporting applications in metastasis research, drug screening, and translational oncology while reducing reliance on animal models.</w:t>
      </w:r>
    </w:p>
    <w:p w14:paraId="7B69840D"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19FBD4B8" w14:textId="690C9F35" w:rsidR="00C31F2C" w:rsidRPr="00CC3FFF" w:rsidRDefault="00C31F2C" w:rsidP="00C31F2C">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4</w:t>
      </w:r>
      <w:r w:rsidR="00CF4F57" w:rsidRPr="00CC3FFF">
        <w:rPr>
          <w:rFonts w:ascii="Times New Roman" w:hAnsi="Times New Roman" w:cs="Times New Roman"/>
          <w:b/>
          <w:bCs/>
          <w:iCs/>
          <w:sz w:val="20"/>
          <w:szCs w:val="18"/>
        </w:rPr>
        <w:t>8</w:t>
      </w:r>
      <w:r w:rsidRPr="00CC3FFF">
        <w:rPr>
          <w:rFonts w:ascii="Times New Roman" w:hAnsi="Times New Roman" w:cs="Times New Roman"/>
          <w:b/>
          <w:bCs/>
          <w:iCs/>
          <w:sz w:val="20"/>
          <w:szCs w:val="18"/>
        </w:rPr>
        <w:t xml:space="preserve">. </w:t>
      </w:r>
      <w:r w:rsidR="00CF4F57" w:rsidRPr="00CC3FFF">
        <w:rPr>
          <w:rFonts w:ascii="Times New Roman" w:hAnsi="Times New Roman" w:cs="Times New Roman"/>
          <w:b/>
          <w:bCs/>
          <w:iCs/>
          <w:caps/>
          <w:sz w:val="20"/>
          <w:szCs w:val="18"/>
        </w:rPr>
        <w:t>When contamination is not an option: microbiological monitoring in ATMPs</w:t>
      </w:r>
    </w:p>
    <w:p w14:paraId="6D1C6331"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75165286" w14:textId="2A7F6985" w:rsidR="00C31F2C" w:rsidRPr="00CC3FFF" w:rsidRDefault="00CF4F57" w:rsidP="00C31F2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I. Proietti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 Ottavi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G. Muzi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C. Conti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V. Grespi</w:t>
      </w:r>
      <w:r w:rsidRPr="00CC3FFF">
        <w:rPr>
          <w:rFonts w:ascii="Times New Roman" w:hAnsi="Times New Roman" w:cs="Times New Roman"/>
          <w:bCs/>
          <w:iCs/>
          <w:sz w:val="20"/>
          <w:szCs w:val="18"/>
          <w:vertAlign w:val="superscript"/>
          <w:lang w:val="it-IT"/>
        </w:rPr>
        <w:t>1,2</w:t>
      </w:r>
      <w:r w:rsidRPr="00CC3FFF">
        <w:rPr>
          <w:rFonts w:ascii="Times New Roman" w:hAnsi="Times New Roman" w:cs="Times New Roman"/>
          <w:bCs/>
          <w:iCs/>
          <w:sz w:val="20"/>
          <w:szCs w:val="18"/>
          <w:lang w:val="it-IT"/>
        </w:rPr>
        <w:t>, V. Marsili</w:t>
      </w:r>
      <w:r w:rsidRPr="00CC3FFF">
        <w:rPr>
          <w:rFonts w:ascii="Times New Roman" w:hAnsi="Times New Roman" w:cs="Times New Roman"/>
          <w:bCs/>
          <w:iCs/>
          <w:sz w:val="20"/>
          <w:szCs w:val="18"/>
          <w:vertAlign w:val="superscript"/>
          <w:lang w:val="it-IT"/>
        </w:rPr>
        <w:t>1</w:t>
      </w:r>
    </w:p>
    <w:p w14:paraId="7468C51B"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6F6D46CB" w14:textId="77777777" w:rsidR="00CF4F57" w:rsidRPr="00CC3FFF" w:rsidRDefault="00CF4F57" w:rsidP="00CF4F57">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lastRenderedPageBreak/>
        <w:t>1</w:t>
      </w:r>
      <w:r w:rsidRPr="00CC3FFF">
        <w:rPr>
          <w:rFonts w:ascii="Times New Roman" w:hAnsi="Times New Roman" w:cs="Times New Roman"/>
          <w:bCs/>
          <w:iCs/>
          <w:sz w:val="20"/>
          <w:szCs w:val="18"/>
          <w:lang w:val="it-IT"/>
        </w:rPr>
        <w:t>Laboratorio Cellule Staminali, Cell Factory e Biobanca, Santa Maria Hospital, Terni, Italy</w:t>
      </w:r>
    </w:p>
    <w:p w14:paraId="3485EDE1" w14:textId="1816C89A" w:rsidR="00C31F2C" w:rsidRPr="00CC3FFF" w:rsidRDefault="00CF4F57" w:rsidP="00CF4F57">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Department of Neuroscience, Neurosurgery Unit, Santa Maria Hospital, Terni, Italy</w:t>
      </w:r>
    </w:p>
    <w:p w14:paraId="1103A1AA"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3780DE9D" w14:textId="45BEC465" w:rsidR="00CF4F57" w:rsidRPr="00CC3FFF" w:rsidRDefault="00CF4F57" w:rsidP="00CF4F57">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The primary objective of this study was to demonstrate the effectiveness of the microbiological contamination control strategy in the context of ATMPs, which are associated with a heightened microbiological risk due to their biological nature and complex manufacturing processes. This strategy was implemented during the manufacturing of a Phase I clinical trial for secondary progressive multiple sclerosis using neural stem cell–based products (2017–2020) at the Laboratorio Cellule Staminali,</w:t>
      </w:r>
    </w:p>
    <w:p w14:paraId="65E8EB86" w14:textId="77777777" w:rsidR="00CF4F57" w:rsidRPr="00CC3FFF" w:rsidRDefault="00CF4F57" w:rsidP="00CF4F57">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Cell Factory e Biobanca, Azienda Ospedaliera Santa Maria di Terni (CF), and proved effective in maintaining consistently low levels of microbiological contamination in critical Grade A–D cleanrooms in compliance with GMP requirements.</w:t>
      </w:r>
    </w:p>
    <w:p w14:paraId="2A9958A9" w14:textId="32738A26" w:rsidR="00CF4F57" w:rsidRPr="00CC3FFF" w:rsidRDefault="00CF4F57" w:rsidP="00CF4F57">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A retrospective evaluation of monitoring data collected at CF during the trial was performed. The microbiological monitoring program followed Eudralex Volume 4 Annex 1, classifying cleanrooms as Grades A-D. Monitoring included airborne sampling, settle plates, surface and personnel monitoring. Microorganisms were identified to species level by an external GMP laboratory using 16S rRNA gene sequencing.</w:t>
      </w:r>
    </w:p>
    <w:p w14:paraId="29966D88" w14:textId="71C4EC9B" w:rsidR="00CF4F57" w:rsidRPr="00CC3FFF" w:rsidRDefault="00CF4F57" w:rsidP="00CF4F57">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Between 2017 and 2020, a total of 21,829 samples were collected, including 5,569 from operators and cleanroom areas A-D. The overall positivity rate was 2.0%, ranging from 2.2% in 2017 to 1.1% in 2020, indicating consistently low microbial levels. In relation to Grade A-D and personnel, their deviations above limits were limited, occurring in 16 of 387 positive samples (4.1%). Personnel monitoring showed 0.3% positivity; deviations were rare (8 events), mostly in 2019. Aspergillus fumigatus was the predominant isolate in Grade B areas, likely due to the presence of incubators creating conditions favorable to fungal growth (es. humidity). Other isolates were Gram-positive bacteria from skin or environment. No Gram-negative or high-risk microbes were found in Grade A or B, and all cell therapy batch products were tested negatively for sterility, mycoplasma and endotoxins.</w:t>
      </w:r>
    </w:p>
    <w:p w14:paraId="28059E52" w14:textId="2C029E95" w:rsidR="00C31F2C" w:rsidRPr="00CC3FFF" w:rsidRDefault="00CF4F57" w:rsidP="00CF4F57">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The data support the effectiveness of an Annex 1–compliant contamination control strategy implemented at the CF in ensuring microbiological control across Grade A–D cleanrooms, as evidenced by the very low frequency of out-of-limit deviations in Grades A and B and the absence of microbiological contamination in clinical-grade stem cell products.</w:t>
      </w:r>
    </w:p>
    <w:p w14:paraId="7A9775B2"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1F8B1990" w14:textId="024DF0F2" w:rsidR="00C31F2C" w:rsidRPr="00CC3FFF" w:rsidRDefault="00C04F5C" w:rsidP="00C31F2C">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49</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New players in bone anabolism by skeletogenic stem cells: the desmin/myo-inositol duo and its translational relevance</w:t>
      </w:r>
    </w:p>
    <w:p w14:paraId="3660725E"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2D863988" w14:textId="1AF07AB1" w:rsidR="00C04F5C" w:rsidRPr="00CC3FFF" w:rsidRDefault="00C04F5C" w:rsidP="00C04F5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F. P. Quartulli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G. Di Conza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F. Barbaro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Scarpa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E. Gabusi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G. Lisignoli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S. Mosca</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S. Caravelli</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G. Gardini</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M. Mosca</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S. Sprio</w:t>
      </w:r>
      <w:r w:rsidRPr="00CC3FFF">
        <w:rPr>
          <w:rFonts w:ascii="Times New Roman" w:hAnsi="Times New Roman" w:cs="Times New Roman"/>
          <w:bCs/>
          <w:iCs/>
          <w:sz w:val="20"/>
          <w:szCs w:val="18"/>
          <w:vertAlign w:val="superscript"/>
          <w:lang w:val="it-IT"/>
        </w:rPr>
        <w:t>5</w:t>
      </w:r>
      <w:r w:rsidRPr="00CC3FFF">
        <w:rPr>
          <w:rFonts w:ascii="Times New Roman" w:hAnsi="Times New Roman" w:cs="Times New Roman"/>
          <w:bCs/>
          <w:iCs/>
          <w:sz w:val="20"/>
          <w:szCs w:val="18"/>
          <w:lang w:val="it-IT"/>
        </w:rPr>
        <w:t>, A. Tampieri</w:t>
      </w:r>
      <w:r w:rsidRPr="00CC3FFF">
        <w:rPr>
          <w:rFonts w:ascii="Times New Roman" w:hAnsi="Times New Roman" w:cs="Times New Roman"/>
          <w:bCs/>
          <w:iCs/>
          <w:sz w:val="20"/>
          <w:szCs w:val="18"/>
          <w:vertAlign w:val="superscript"/>
          <w:lang w:val="it-IT"/>
        </w:rPr>
        <w:t>5</w:t>
      </w:r>
      <w:r w:rsidRPr="00CC3FFF">
        <w:rPr>
          <w:rFonts w:ascii="Times New Roman" w:hAnsi="Times New Roman" w:cs="Times New Roman"/>
          <w:bCs/>
          <w:iCs/>
          <w:sz w:val="20"/>
          <w:szCs w:val="18"/>
          <w:lang w:val="it-IT"/>
        </w:rPr>
        <w:t>, R. Toni</w:t>
      </w:r>
      <w:r w:rsidRPr="00CC3FFF">
        <w:rPr>
          <w:rFonts w:ascii="Times New Roman" w:hAnsi="Times New Roman" w:cs="Times New Roman"/>
          <w:bCs/>
          <w:iCs/>
          <w:sz w:val="20"/>
          <w:szCs w:val="18"/>
          <w:vertAlign w:val="superscript"/>
          <w:lang w:val="it-IT"/>
        </w:rPr>
        <w:t>5,6,7</w:t>
      </w:r>
    </w:p>
    <w:p w14:paraId="67EBA9FC"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77BA3789" w14:textId="77777777" w:rsidR="00C04F5C" w:rsidRPr="00CC3FFF" w:rsidRDefault="00C04F5C" w:rsidP="00C04F5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Re.Mo.BIO.S. - DIMEC - UNIPR, PARMA, Italy</w:t>
      </w:r>
    </w:p>
    <w:p w14:paraId="3B8AC8A6" w14:textId="77777777" w:rsidR="002C1A50" w:rsidRPr="00CC3FFF" w:rsidRDefault="00C04F5C" w:rsidP="00C04F5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Immunorheumatology &amp; Tissue Regeneration - IRCCS IOR, Bologna, Italy</w:t>
      </w:r>
    </w:p>
    <w:p w14:paraId="340EB632" w14:textId="77777777" w:rsidR="002C1A50" w:rsidRPr="00CC3FFF" w:rsidRDefault="00C04F5C" w:rsidP="00C04F5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Orthopaedics, Vita-Salute University and Hospital, Milan, Italy</w:t>
      </w:r>
    </w:p>
    <w:p w14:paraId="3DF16B4C" w14:textId="1EDA3422" w:rsidR="00C04F5C" w:rsidRPr="00CC3FFF" w:rsidRDefault="00C04F5C" w:rsidP="00C04F5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Orthopaedics Bentivoglio, IRCCS IOR, Bologna, Italy</w:t>
      </w:r>
    </w:p>
    <w:p w14:paraId="71AE0511" w14:textId="77777777" w:rsidR="00C04F5C" w:rsidRPr="00CC3FFF" w:rsidRDefault="00C04F5C" w:rsidP="00C04F5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5</w:t>
      </w:r>
      <w:r w:rsidRPr="00CC3FFF">
        <w:rPr>
          <w:rFonts w:ascii="Times New Roman" w:hAnsi="Times New Roman" w:cs="Times New Roman"/>
          <w:bCs/>
          <w:iCs/>
          <w:sz w:val="20"/>
          <w:szCs w:val="18"/>
        </w:rPr>
        <w:t>CNR ISSMC, Faenza, Italy</w:t>
      </w:r>
    </w:p>
    <w:p w14:paraId="3C0561CD" w14:textId="4F7126C2" w:rsidR="00C04F5C" w:rsidRPr="00CC3FFF" w:rsidRDefault="00C04F5C" w:rsidP="00C04F5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6</w:t>
      </w:r>
      <w:r w:rsidRPr="00CC3FFF">
        <w:rPr>
          <w:rFonts w:ascii="Times New Roman" w:hAnsi="Times New Roman" w:cs="Times New Roman"/>
          <w:bCs/>
          <w:iCs/>
          <w:sz w:val="20"/>
          <w:szCs w:val="18"/>
        </w:rPr>
        <w:t>Div. Endocrinology, Diabetes, and Metabolism, TMC-TUSM, Boston, USA</w:t>
      </w:r>
    </w:p>
    <w:p w14:paraId="57B79C3A" w14:textId="3585BC6E" w:rsidR="00C31F2C" w:rsidRPr="00CC3FFF" w:rsidRDefault="00C04F5C" w:rsidP="00C04F5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7</w:t>
      </w:r>
      <w:r w:rsidRPr="00CC3FFF">
        <w:rPr>
          <w:rFonts w:ascii="Times New Roman" w:hAnsi="Times New Roman" w:cs="Times New Roman"/>
          <w:bCs/>
          <w:iCs/>
          <w:sz w:val="20"/>
          <w:szCs w:val="18"/>
        </w:rPr>
        <w:t>RIV Capital, Dubai, United Arab Emirates</w:t>
      </w:r>
    </w:p>
    <w:p w14:paraId="39F13975"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512127E3" w14:textId="408E3E03" w:rsidR="002C1A50" w:rsidRPr="00CC3FFF" w:rsidRDefault="002C1A50" w:rsidP="002C1A5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The purpose of this study was to investigate the protein-protein interaction network or interactome involved in osteogenic activation of multipotent, mesenchymal stromal cells by the cytoskeletal filament desmin (DES), and the role of myo-inositol (MYO) in favoring this response.</w:t>
      </w:r>
    </w:p>
    <w:p w14:paraId="4CB8A736" w14:textId="6D18AAA8" w:rsidR="002C1A50" w:rsidRPr="00CC3FFF" w:rsidRDefault="002C1A50" w:rsidP="002C1A5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e Methods: </w:t>
      </w:r>
      <w:r w:rsidRPr="00CC3FFF">
        <w:rPr>
          <w:rFonts w:ascii="Times New Roman" w:hAnsi="Times New Roman" w:cs="Times New Roman"/>
          <w:bCs/>
          <w:iCs/>
          <w:sz w:val="20"/>
          <w:szCs w:val="18"/>
        </w:rPr>
        <w:t xml:space="preserve">The DES osteogenic interactome was based on STRING12 and STITCH5 databases whereas interactions between DES, cytoskeletal proteins, and osteogenic enzymes/trascription factors+MYO were topologically analyzed using the Gephi software. In vitro studies were conducted using the embryonic murine fibroblasts NIH 3T3 (courtesy of Lucio Cocco), and human primary MSCs. DES was identified by immunocytochemistry and western blotting, using rabbit polyclonal and mouse </w:t>
      </w:r>
      <w:r w:rsidRPr="00CC3FFF">
        <w:rPr>
          <w:rFonts w:ascii="Times New Roman" w:hAnsi="Times New Roman" w:cs="Times New Roman"/>
          <w:bCs/>
          <w:iCs/>
          <w:sz w:val="20"/>
          <w:szCs w:val="18"/>
        </w:rPr>
        <w:lastRenderedPageBreak/>
        <w:t>monoclonal Abs (1:50-1:800), Fast Red-Alkaline Phosphatase (AP), ABC/DAB, and chemiluminescence, respectively. Osteogenesis (2.5-100x103cc/monolayer) was studied between 48h-28 days, MYO administered in a 320-640 μM range, and mineralization evaluated with calcium spectrophotomery. An in vivo study was done using MYO (3 gr/day x 3 months) in a human case of tibial osteomielitis, and grey level densitometry on X-ray films. Differences between control and treated samples (cells and tibial lesion) were considered significant if p&lt;0.05.</w:t>
      </w:r>
    </w:p>
    <w:p w14:paraId="5DEEDE29" w14:textId="4B5A0FB7" w:rsidR="002C1A50" w:rsidRPr="00CC3FFF" w:rsidRDefault="002C1A50" w:rsidP="002C1A5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Topological analysis of the DES interactome predicted that the DES signal may reach the enzyme AKT via VIM, VINC, β-actin, ROCK-Rhoa-SMAD, and Hspb1 (Hsp27). AKT acts as an “hub” and “bottleneck” for the DES signal en route to RUNX2 and AP, and links to GSK3β. GSK3β interacts with YAP/TAZ, and is accessed by MYO through AKT-mTOR. The DES signal may reach RUNX2/AP also through Gal1-SPARC. Consistently, both mouse and human osteoprogenitors were positive for DES (83-85% of cells), gave rise to osteoid nodules rich in DES and, when NIH 3T3 cells were challenged with MYO significantly increased both DES and mineral deposition. Finally, in vivo MYO administration significanlty increased bone density in the lesioned, distal human tibia.</w:t>
      </w:r>
    </w:p>
    <w:p w14:paraId="06595C57" w14:textId="091016EE" w:rsidR="00C31F2C" w:rsidRPr="00CC3FFF" w:rsidRDefault="002C1A50" w:rsidP="002C1A50">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DES represents a new and early signal to trigger differentiation of mammalian skeletogenic stem cells, and involves the AKT-GSK3β complex. Since activation of AKT by MYO inhibits GSK3β, and GSK3β deactivates DES through phosphorylation, we believe that the observed in vitro and in vivo bone anabolic actions of MYO occur by preserving DES in a functional dephosphorylated state. Grants PRIN PNRR P20224TAETP, P2022H74YP.</w:t>
      </w:r>
    </w:p>
    <w:p w14:paraId="2D38336C"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60198A74" w14:textId="19FC1683" w:rsidR="00C31F2C" w:rsidRPr="00CC3FFF" w:rsidRDefault="00FA66AC" w:rsidP="00C31F2C">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50</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Inflammatory priming activates the healing ability of adipose-derived stem cells in osteoarthritis</w:t>
      </w:r>
    </w:p>
    <w:p w14:paraId="4EE16446"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37D0ACFE" w14:textId="321CD782" w:rsidR="00C31F2C" w:rsidRPr="00CC3FFF" w:rsidRDefault="00FA66AC" w:rsidP="00C31F2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V. Raffo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A. Colombini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 M. Ligotti</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S. Lopa</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V. Ippolito</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A. Gallo</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N. Cuscino</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S. D. Scilabra</w:t>
      </w:r>
      <w:r w:rsidRPr="00CC3FFF">
        <w:rPr>
          <w:rFonts w:ascii="Times New Roman" w:hAnsi="Times New Roman" w:cs="Times New Roman"/>
          <w:bCs/>
          <w:iCs/>
          <w:sz w:val="20"/>
          <w:szCs w:val="18"/>
          <w:vertAlign w:val="superscript"/>
          <w:lang w:val="it-IT"/>
        </w:rPr>
        <w:t>5</w:t>
      </w:r>
      <w:r w:rsidRPr="00CC3FFF">
        <w:rPr>
          <w:rFonts w:ascii="Times New Roman" w:hAnsi="Times New Roman" w:cs="Times New Roman"/>
          <w:bCs/>
          <w:iCs/>
          <w:sz w:val="20"/>
          <w:szCs w:val="18"/>
          <w:lang w:val="it-IT"/>
        </w:rPr>
        <w:t>, M. Lo Pinto</w:t>
      </w:r>
      <w:r w:rsidRPr="00CC3FFF">
        <w:rPr>
          <w:rFonts w:ascii="Times New Roman" w:hAnsi="Times New Roman" w:cs="Times New Roman"/>
          <w:bCs/>
          <w:iCs/>
          <w:sz w:val="20"/>
          <w:szCs w:val="18"/>
          <w:vertAlign w:val="superscript"/>
          <w:lang w:val="it-IT"/>
        </w:rPr>
        <w:t>5</w:t>
      </w:r>
      <w:r w:rsidRPr="00CC3FFF">
        <w:rPr>
          <w:rFonts w:ascii="Times New Roman" w:hAnsi="Times New Roman" w:cs="Times New Roman"/>
          <w:bCs/>
          <w:iCs/>
          <w:sz w:val="20"/>
          <w:szCs w:val="18"/>
          <w:lang w:val="it-IT"/>
        </w:rPr>
        <w:t>, S. Messina</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A. Orlando</w:t>
      </w:r>
      <w:r w:rsidRPr="00CC3FFF">
        <w:rPr>
          <w:rFonts w:ascii="Times New Roman" w:hAnsi="Times New Roman" w:cs="Times New Roman"/>
          <w:bCs/>
          <w:iCs/>
          <w:sz w:val="20"/>
          <w:szCs w:val="18"/>
          <w:vertAlign w:val="superscript"/>
          <w:lang w:val="it-IT"/>
        </w:rPr>
        <w:t>2,6</w:t>
      </w:r>
      <w:r w:rsidRPr="00CC3FFF">
        <w:rPr>
          <w:rFonts w:ascii="Times New Roman" w:hAnsi="Times New Roman" w:cs="Times New Roman"/>
          <w:bCs/>
          <w:iCs/>
          <w:sz w:val="20"/>
          <w:szCs w:val="18"/>
          <w:lang w:val="it-IT"/>
        </w:rPr>
        <w:t>, M. Moretti</w:t>
      </w:r>
      <w:r w:rsidRPr="00CC3FFF">
        <w:rPr>
          <w:rFonts w:ascii="Times New Roman" w:hAnsi="Times New Roman" w:cs="Times New Roman"/>
          <w:bCs/>
          <w:iCs/>
          <w:sz w:val="20"/>
          <w:szCs w:val="18"/>
          <w:vertAlign w:val="superscript"/>
          <w:lang w:val="it-IT"/>
        </w:rPr>
        <w:t>4,7,8,9</w:t>
      </w:r>
      <w:r w:rsidRPr="00CC3FFF">
        <w:rPr>
          <w:rFonts w:ascii="Times New Roman" w:hAnsi="Times New Roman" w:cs="Times New Roman"/>
          <w:bCs/>
          <w:iCs/>
          <w:sz w:val="20"/>
          <w:szCs w:val="18"/>
          <w:lang w:val="it-IT"/>
        </w:rPr>
        <w:t>, L. de Girolamo</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 Bulati</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V. Miceli</w:t>
      </w:r>
      <w:r w:rsidRPr="00CC3FFF">
        <w:rPr>
          <w:rFonts w:ascii="Times New Roman" w:hAnsi="Times New Roman" w:cs="Times New Roman"/>
          <w:bCs/>
          <w:iCs/>
          <w:sz w:val="20"/>
          <w:szCs w:val="18"/>
          <w:vertAlign w:val="superscript"/>
          <w:lang w:val="it-IT"/>
        </w:rPr>
        <w:t>3,§</w:t>
      </w:r>
    </w:p>
    <w:p w14:paraId="5B8964C3"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3832EF00" w14:textId="77777777" w:rsidR="00FA66AC" w:rsidRPr="00CC3FFF" w:rsidRDefault="00FA66AC" w:rsidP="00FA66A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Dipartimento di Medicina di Precisione e Rigenerativa e Area Jonica (Di.Me.Pre-J), Università Degli Studi di Bari, Valenzano, Italy</w:t>
      </w:r>
    </w:p>
    <w:p w14:paraId="1507B78F" w14:textId="77777777"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Orthopaedic Biotechnology Lab, IRCCS Istituto Ortopedico Galeazzi, Milan, Italy</w:t>
      </w:r>
    </w:p>
    <w:p w14:paraId="64199348" w14:textId="0759F573"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Department of Research, IRCCS-ISMETT, Palermo, Italy</w:t>
      </w:r>
    </w:p>
    <w:p w14:paraId="4434230C" w14:textId="77777777"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4</w:t>
      </w:r>
      <w:r w:rsidRPr="00CC3FFF">
        <w:rPr>
          <w:rFonts w:ascii="Times New Roman" w:hAnsi="Times New Roman" w:cs="Times New Roman"/>
          <w:bCs/>
          <w:iCs/>
          <w:sz w:val="20"/>
          <w:szCs w:val="18"/>
        </w:rPr>
        <w:t>Cell and Tissue Engineering Laboratory, IRCCS Istituto Ortopedico Galeazzi, Milan, Italy</w:t>
      </w:r>
    </w:p>
    <w:p w14:paraId="1F3160CC" w14:textId="644A7F9F"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5</w:t>
      </w:r>
      <w:r w:rsidRPr="00CC3FFF">
        <w:rPr>
          <w:rFonts w:ascii="Times New Roman" w:hAnsi="Times New Roman" w:cs="Times New Roman"/>
          <w:bCs/>
          <w:iCs/>
          <w:sz w:val="20"/>
          <w:szCs w:val="18"/>
        </w:rPr>
        <w:t>Ri. MED Foundation, Palermo, Italy</w:t>
      </w:r>
    </w:p>
    <w:p w14:paraId="445B38FE" w14:textId="60519426"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6</w:t>
      </w:r>
      <w:r w:rsidRPr="00CC3FFF">
        <w:rPr>
          <w:rFonts w:ascii="Times New Roman" w:hAnsi="Times New Roman" w:cs="Times New Roman"/>
          <w:bCs/>
          <w:iCs/>
          <w:sz w:val="20"/>
          <w:szCs w:val="18"/>
        </w:rPr>
        <w:t xml:space="preserve">Department of Biomedicine, Neurosciences and Advanced Diagnostics (BiND), University of Palermo, </w:t>
      </w:r>
      <w:r w:rsidR="008E37A7" w:rsidRPr="00CC3FFF">
        <w:rPr>
          <w:rFonts w:ascii="Times New Roman" w:hAnsi="Times New Roman" w:cs="Times New Roman"/>
          <w:bCs/>
          <w:iCs/>
          <w:sz w:val="20"/>
          <w:szCs w:val="18"/>
        </w:rPr>
        <w:t xml:space="preserve">Palermo, </w:t>
      </w:r>
      <w:r w:rsidRPr="00CC3FFF">
        <w:rPr>
          <w:rFonts w:ascii="Times New Roman" w:hAnsi="Times New Roman" w:cs="Times New Roman"/>
          <w:bCs/>
          <w:iCs/>
          <w:sz w:val="20"/>
          <w:szCs w:val="18"/>
        </w:rPr>
        <w:t>Italy</w:t>
      </w:r>
    </w:p>
    <w:p w14:paraId="7AA63BAA" w14:textId="7829C08F"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7</w:t>
      </w:r>
      <w:r w:rsidRPr="00CC3FFF">
        <w:rPr>
          <w:rFonts w:ascii="Times New Roman" w:hAnsi="Times New Roman" w:cs="Times New Roman"/>
          <w:bCs/>
          <w:iCs/>
          <w:sz w:val="20"/>
          <w:szCs w:val="18"/>
        </w:rPr>
        <w:t>Regenerative Medicine Technologies Laboratory, EOC, Bellinzona, Switzerland</w:t>
      </w:r>
    </w:p>
    <w:p w14:paraId="564BEF54" w14:textId="4BA5101C"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8</w:t>
      </w:r>
      <w:r w:rsidRPr="00CC3FFF">
        <w:rPr>
          <w:rFonts w:ascii="Times New Roman" w:hAnsi="Times New Roman" w:cs="Times New Roman"/>
          <w:bCs/>
          <w:iCs/>
          <w:sz w:val="20"/>
          <w:szCs w:val="18"/>
        </w:rPr>
        <w:t>Service of Orthopaedics and Traumatology, EOC, Lugano, Switzerland</w:t>
      </w:r>
    </w:p>
    <w:p w14:paraId="3A294C0C" w14:textId="4B0B5DD3"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9</w:t>
      </w:r>
      <w:r w:rsidRPr="00CC3FFF">
        <w:rPr>
          <w:rFonts w:ascii="Times New Roman" w:hAnsi="Times New Roman" w:cs="Times New Roman"/>
          <w:bCs/>
          <w:iCs/>
          <w:sz w:val="20"/>
          <w:szCs w:val="18"/>
        </w:rPr>
        <w:t>Euler Institute, USI, Lugano, Switzerland</w:t>
      </w:r>
    </w:p>
    <w:p w14:paraId="24C8B09D" w14:textId="5D573CBA" w:rsidR="00C31F2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equally contributed</w:t>
      </w:r>
    </w:p>
    <w:p w14:paraId="422C3E84"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73537E88" w14:textId="17F8A6B2"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Osteoarthritis (OA) is a chronic joint disease characterized by cartilage degradation and inflammation, where macrophages play a pivotal role in pathogenesis. Intra-articular injection of adipose-derived stem cells (ASCs) is a promising therapy, but the therapeutic efficacy may require improvement.</w:t>
      </w:r>
    </w:p>
    <w:p w14:paraId="6F109BEC" w14:textId="77777777"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This study aims to evaluate whether priming strategies (inflammatory or hypoxic) can “unlock” the immunomodulatory and regenerative potential of ASCs to better counteract the OA environment.</w:t>
      </w:r>
    </w:p>
    <w:p w14:paraId="45FE6023" w14:textId="16ED3B12"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We isolated human ASCs and co-cultured them with macrophages from healthy donors to test their effect on macrophage polarization. To identify the most effective activation stimulus for enhancing their therapeutic efficacy in the OA environment, ASCs were exposed to three different priming conditions: hypoxia (1% O</w:t>
      </w:r>
      <w:r w:rsidRPr="005C0B02">
        <w:rPr>
          <w:rFonts w:ascii="Times New Roman" w:hAnsi="Times New Roman" w:cs="Times New Roman"/>
          <w:bCs/>
          <w:iCs/>
          <w:sz w:val="20"/>
          <w:szCs w:val="18"/>
          <w:vertAlign w:val="subscript"/>
        </w:rPr>
        <w:t>2</w:t>
      </w:r>
      <w:r w:rsidRPr="00CC3FFF">
        <w:rPr>
          <w:rFonts w:ascii="Times New Roman" w:hAnsi="Times New Roman" w:cs="Times New Roman"/>
          <w:bCs/>
          <w:iCs/>
          <w:sz w:val="20"/>
          <w:szCs w:val="18"/>
        </w:rPr>
        <w:t>), interferon γ (IFNγ), or interleukin-1β (IL-1β). The molecular changes were characterized by using a multi-omics approach: mass spectrometry for the secretome, TaqMan Arrays for exosomal miRNAs, and Next-Generation Sequencing (NGS) for gene expression.</w:t>
      </w:r>
    </w:p>
    <w:p w14:paraId="7FB08A58" w14:textId="7B0B6244" w:rsidR="00FA66A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 xml:space="preserve">Under basal conditions, ASCs did not induce an anti-inflammatory phenotype in macrophages. However, IL-1β priming, unlike hypoxia or IFNγ, triggered a massive proteomic and transcriptomic </w:t>
      </w:r>
      <w:r w:rsidRPr="00CC3FFF">
        <w:rPr>
          <w:rFonts w:ascii="Times New Roman" w:hAnsi="Times New Roman" w:cs="Times New Roman"/>
          <w:bCs/>
          <w:iCs/>
          <w:sz w:val="20"/>
          <w:szCs w:val="18"/>
        </w:rPr>
        <w:lastRenderedPageBreak/>
        <w:t>remodeling. Specifically, IL-1β- upregulated proteins related to immune regulation (chemotaxis) and cartilage matrix organization. The exosome cargo is changed by this priming, enriching specific classes of miRNAs. These molecules are predicted to target and downregulate inflammatory signals, while supporting pathways involved in matrix remodeling.</w:t>
      </w:r>
    </w:p>
    <w:p w14:paraId="2F1E582C" w14:textId="10B9E917" w:rsidR="00C31F2C" w:rsidRPr="00CC3FFF" w:rsidRDefault="00FA66AC" w:rsidP="00FA66AC">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ASCs require specific signals to become active because they are not inherently anti-inflammatory. IL-1β priming promotes both inflammation resolution and tissue repair. This study suggests that priming could be a key strategy to develop more effective, tailored treatments for OA.</w:t>
      </w:r>
    </w:p>
    <w:p w14:paraId="3A294C4D" w14:textId="211CE1A8"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5D610847" w14:textId="4C781D21" w:rsidR="00C31F2C" w:rsidRPr="00CC3FFF" w:rsidRDefault="00EA68A1" w:rsidP="00C31F2C">
      <w:pPr>
        <w:adjustRightInd w:val="0"/>
        <w:snapToGrid w:val="0"/>
        <w:spacing w:line="260" w:lineRule="atLeast"/>
        <w:rPr>
          <w:rFonts w:ascii="Times New Roman" w:hAnsi="Times New Roman" w:cs="Times New Roman"/>
          <w:b/>
          <w:bCs/>
          <w:iCs/>
          <w:sz w:val="20"/>
          <w:szCs w:val="18"/>
        </w:rPr>
      </w:pPr>
      <w:r w:rsidRPr="00CC3FFF">
        <w:rPr>
          <w:rFonts w:ascii="Times New Roman" w:hAnsi="Times New Roman" w:cs="Times New Roman"/>
          <w:b/>
          <w:bCs/>
          <w:iCs/>
          <w:sz w:val="20"/>
          <w:szCs w:val="18"/>
        </w:rPr>
        <w:t>51</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Good manufacturing practice-compliant process optimization for the production of safe and effective cartilage cells to treat diffuse cartilage lesions</w:t>
      </w:r>
    </w:p>
    <w:p w14:paraId="6E87719E"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5D1EB4D4" w14:textId="07940816" w:rsidR="00C31F2C" w:rsidRPr="00CC3FFF" w:rsidRDefault="00EA68A1" w:rsidP="00C31F2C">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V. Raffo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A. Colombini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S. Lopa</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I. Ferrero</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K. Mareschi</w:t>
      </w:r>
      <w:r w:rsidRPr="00CC3FFF">
        <w:rPr>
          <w:rFonts w:ascii="Times New Roman" w:hAnsi="Times New Roman" w:cs="Times New Roman"/>
          <w:bCs/>
          <w:iCs/>
          <w:sz w:val="20"/>
          <w:szCs w:val="18"/>
          <w:vertAlign w:val="superscript"/>
          <w:lang w:val="it-IT"/>
        </w:rPr>
        <w:t>4,5</w:t>
      </w:r>
      <w:r w:rsidRPr="00CC3FFF">
        <w:rPr>
          <w:rFonts w:ascii="Times New Roman" w:hAnsi="Times New Roman" w:cs="Times New Roman"/>
          <w:bCs/>
          <w:iCs/>
          <w:sz w:val="20"/>
          <w:szCs w:val="18"/>
          <w:lang w:val="it-IT"/>
        </w:rPr>
        <w:t>, M. Lo Pinto</w:t>
      </w:r>
      <w:r w:rsidRPr="00CC3FFF">
        <w:rPr>
          <w:rFonts w:ascii="Times New Roman" w:hAnsi="Times New Roman" w:cs="Times New Roman"/>
          <w:bCs/>
          <w:iCs/>
          <w:sz w:val="20"/>
          <w:szCs w:val="18"/>
          <w:vertAlign w:val="superscript"/>
          <w:lang w:val="it-IT"/>
        </w:rPr>
        <w:t>6</w:t>
      </w:r>
      <w:r w:rsidRPr="00CC3FFF">
        <w:rPr>
          <w:rFonts w:ascii="Times New Roman" w:hAnsi="Times New Roman" w:cs="Times New Roman"/>
          <w:bCs/>
          <w:iCs/>
          <w:sz w:val="20"/>
          <w:szCs w:val="18"/>
          <w:lang w:val="it-IT"/>
        </w:rPr>
        <w:t>, S. D. Scilabra</w:t>
      </w:r>
      <w:r w:rsidRPr="00CC3FFF">
        <w:rPr>
          <w:rFonts w:ascii="Times New Roman" w:hAnsi="Times New Roman" w:cs="Times New Roman"/>
          <w:bCs/>
          <w:iCs/>
          <w:sz w:val="20"/>
          <w:szCs w:val="18"/>
          <w:vertAlign w:val="superscript"/>
          <w:lang w:val="it-IT"/>
        </w:rPr>
        <w:t>6</w:t>
      </w:r>
      <w:r w:rsidRPr="00CC3FFF">
        <w:rPr>
          <w:rFonts w:ascii="Times New Roman" w:hAnsi="Times New Roman" w:cs="Times New Roman"/>
          <w:bCs/>
          <w:iCs/>
          <w:sz w:val="20"/>
          <w:szCs w:val="18"/>
          <w:lang w:val="it-IT"/>
        </w:rPr>
        <w:t>, L. Mangiavini</w:t>
      </w:r>
      <w:r w:rsidRPr="00CC3FFF">
        <w:rPr>
          <w:rFonts w:ascii="Times New Roman" w:hAnsi="Times New Roman" w:cs="Times New Roman"/>
          <w:bCs/>
          <w:iCs/>
          <w:sz w:val="20"/>
          <w:szCs w:val="18"/>
          <w:vertAlign w:val="superscript"/>
          <w:lang w:val="it-IT"/>
        </w:rPr>
        <w:t>7,8</w:t>
      </w:r>
      <w:r w:rsidRPr="00CC3FFF">
        <w:rPr>
          <w:rFonts w:ascii="Times New Roman" w:hAnsi="Times New Roman" w:cs="Times New Roman"/>
          <w:bCs/>
          <w:iCs/>
          <w:sz w:val="20"/>
          <w:szCs w:val="18"/>
          <w:lang w:val="it-IT"/>
        </w:rPr>
        <w:t>, M. Moretti</w:t>
      </w:r>
      <w:r w:rsidRPr="00CC3FFF">
        <w:rPr>
          <w:rFonts w:ascii="Times New Roman" w:hAnsi="Times New Roman" w:cs="Times New Roman"/>
          <w:bCs/>
          <w:iCs/>
          <w:sz w:val="20"/>
          <w:szCs w:val="18"/>
          <w:vertAlign w:val="superscript"/>
          <w:lang w:val="it-IT"/>
        </w:rPr>
        <w:t>3,9,10,11</w:t>
      </w:r>
      <w:r w:rsidRPr="00CC3FFF">
        <w:rPr>
          <w:rFonts w:ascii="Times New Roman" w:hAnsi="Times New Roman" w:cs="Times New Roman"/>
          <w:bCs/>
          <w:iCs/>
          <w:sz w:val="20"/>
          <w:szCs w:val="18"/>
          <w:lang w:val="it-IT"/>
        </w:rPr>
        <w:t>, L. de Girolamo</w:t>
      </w:r>
      <w:r w:rsidRPr="00CC3FFF">
        <w:rPr>
          <w:rFonts w:ascii="Times New Roman" w:hAnsi="Times New Roman" w:cs="Times New Roman"/>
          <w:bCs/>
          <w:iCs/>
          <w:sz w:val="20"/>
          <w:szCs w:val="18"/>
          <w:vertAlign w:val="superscript"/>
          <w:lang w:val="it-IT"/>
        </w:rPr>
        <w:t>2</w:t>
      </w:r>
    </w:p>
    <w:p w14:paraId="7E0C21B9"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7317BDBC" w14:textId="65E3BFC2"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of Precision and Regenerative Medicine and Ionian Area, University of Bari, Bari, Italy</w:t>
      </w:r>
    </w:p>
    <w:p w14:paraId="70D6CC81" w14:textId="77777777"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Orthopaedic Biotechnology Lab, IRCCS Galeazzi Sant’Ambrogio Hospital, Milan, Italy</w:t>
      </w:r>
    </w:p>
    <w:p w14:paraId="7B7070C3" w14:textId="77777777"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Cell and Tissue Engineering Laboratory, IRCCS Galeazzi Sant’Ambrogio Hospital, Milan, Italy</w:t>
      </w:r>
    </w:p>
    <w:p w14:paraId="23A2EB71" w14:textId="77777777"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4</w:t>
      </w:r>
      <w:r w:rsidRPr="00CC3FFF">
        <w:rPr>
          <w:rFonts w:ascii="Times New Roman" w:hAnsi="Times New Roman" w:cs="Times New Roman"/>
          <w:bCs/>
          <w:iCs/>
          <w:sz w:val="20"/>
          <w:szCs w:val="18"/>
        </w:rPr>
        <w:t>Stem Cell Transplantation and Cellular Therapy Laboratory, Paediatric Onco-Haematology Division, Regina Margherita Children’s Hospital, City of Health and Science of Turin, Turin, Italy</w:t>
      </w:r>
    </w:p>
    <w:p w14:paraId="3C2F189B" w14:textId="5A320570"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5</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of Public Health and Paediatrics, University of Turin, Turin, Italy</w:t>
      </w:r>
    </w:p>
    <w:p w14:paraId="75CFC1E1" w14:textId="5612C644"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6</w:t>
      </w:r>
      <w:r w:rsidRPr="00CC3FFF">
        <w:rPr>
          <w:rFonts w:ascii="Times New Roman" w:hAnsi="Times New Roman" w:cs="Times New Roman"/>
          <w:bCs/>
          <w:iCs/>
          <w:sz w:val="20"/>
          <w:szCs w:val="18"/>
        </w:rPr>
        <w:t xml:space="preserve">Proteomics Group of Ri.MED Foundation, Research </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IRCCS ISMETT, Palermo, Italy</w:t>
      </w:r>
    </w:p>
    <w:p w14:paraId="3E4DD132" w14:textId="556B5C5C" w:rsidR="00EA68A1" w:rsidRPr="00CC3FFF" w:rsidRDefault="00EA68A1" w:rsidP="00EA68A1">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7</w:t>
      </w:r>
      <w:r w:rsidRPr="00CC3FFF">
        <w:rPr>
          <w:rFonts w:ascii="Times New Roman" w:hAnsi="Times New Roman" w:cs="Times New Roman"/>
          <w:bCs/>
          <w:iCs/>
          <w:sz w:val="20"/>
          <w:szCs w:val="18"/>
          <w:lang w:val="it-IT"/>
        </w:rPr>
        <w:t>IRCCS Galeazzi Sant’Ambrogio Hospital</w:t>
      </w:r>
      <w:r w:rsidR="00262E05" w:rsidRPr="00CC3FFF">
        <w:rPr>
          <w:rFonts w:ascii="Times New Roman" w:hAnsi="Times New Roman" w:cs="Times New Roman"/>
          <w:bCs/>
          <w:iCs/>
          <w:sz w:val="20"/>
          <w:szCs w:val="18"/>
          <w:lang w:val="it-IT"/>
        </w:rPr>
        <w:t>, Milan, Italy</w:t>
      </w:r>
    </w:p>
    <w:p w14:paraId="4A5F39C3" w14:textId="07D98A54"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8</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of Biomedical Sciences for Health, University of Milan, Milan, Italy</w:t>
      </w:r>
    </w:p>
    <w:p w14:paraId="4237DC6F" w14:textId="77777777"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9</w:t>
      </w:r>
      <w:r w:rsidRPr="00CC3FFF">
        <w:rPr>
          <w:rFonts w:ascii="Times New Roman" w:hAnsi="Times New Roman" w:cs="Times New Roman"/>
          <w:bCs/>
          <w:iCs/>
          <w:sz w:val="20"/>
          <w:szCs w:val="18"/>
        </w:rPr>
        <w:t>Regenerative Medicine Technologies Laboratory, EOC, Bellinzona, Switzerland</w:t>
      </w:r>
    </w:p>
    <w:p w14:paraId="74106C0F" w14:textId="6F663B41"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10</w:t>
      </w:r>
      <w:r w:rsidRPr="00CC3FFF">
        <w:rPr>
          <w:rFonts w:ascii="Times New Roman" w:hAnsi="Times New Roman" w:cs="Times New Roman"/>
          <w:bCs/>
          <w:iCs/>
          <w:sz w:val="20"/>
          <w:szCs w:val="18"/>
        </w:rPr>
        <w:t xml:space="preserve">Service of Orthopaedics and Traumatology, </w:t>
      </w:r>
      <w:r w:rsidR="00AC5CDC">
        <w:rPr>
          <w:rFonts w:ascii="Times New Roman" w:hAnsi="Times New Roman" w:cs="Times New Roman"/>
          <w:bCs/>
          <w:iCs/>
          <w:sz w:val="20"/>
          <w:szCs w:val="18"/>
        </w:rPr>
        <w:t>Department</w:t>
      </w:r>
      <w:r w:rsidRPr="00CC3FFF">
        <w:rPr>
          <w:rFonts w:ascii="Times New Roman" w:hAnsi="Times New Roman" w:cs="Times New Roman"/>
          <w:bCs/>
          <w:iCs/>
          <w:sz w:val="20"/>
          <w:szCs w:val="18"/>
        </w:rPr>
        <w:t xml:space="preserve"> of Surgery, EOC, Lugano, Switzerland</w:t>
      </w:r>
    </w:p>
    <w:p w14:paraId="350E5E35" w14:textId="77777777" w:rsidR="00EA68A1"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11</w:t>
      </w:r>
      <w:r w:rsidRPr="00CC3FFF">
        <w:rPr>
          <w:rFonts w:ascii="Times New Roman" w:hAnsi="Times New Roman" w:cs="Times New Roman"/>
          <w:bCs/>
          <w:iCs/>
          <w:sz w:val="20"/>
          <w:szCs w:val="18"/>
        </w:rPr>
        <w:t>Euler Institute, Faculty of Biomedical Sciences, Università della Svizzera italiana, Lugano, Switzerland</w:t>
      </w:r>
    </w:p>
    <w:p w14:paraId="7799BB9B" w14:textId="0340DA52" w:rsidR="00C31F2C" w:rsidRPr="00CC3FFF" w:rsidRDefault="00EA68A1" w:rsidP="00EA68A1">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equally contributed</w:t>
      </w:r>
    </w:p>
    <w:p w14:paraId="5FBF2E01"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68123F7F" w14:textId="00339AAF" w:rsidR="00262E05" w:rsidRPr="00CC3FFF" w:rsidRDefault="00262E05" w:rsidP="00262E05">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The main purpose of this study was to develop a robust method for obtaining cartilage cells enriched in progenitors under Good Manufacturing Practice (GMP) conditions in order to treat diffuse cartilage lesions. To achieve this, a low-density culture system supplemented with human platelet lysate (hPL) was employed.</w:t>
      </w:r>
    </w:p>
    <w:p w14:paraId="662AE121" w14:textId="106960CA" w:rsidR="00262E05" w:rsidRPr="00CC3FFF" w:rsidRDefault="00262E05" w:rsidP="00262E05">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Cartilage cell production under GMP-compliant conditions was performed, and risks associated with the production process were evaluated and identified. The study evaluated two distinct types of hPL: an in-house produced lysate (hPL A), qualified for use in GMP-compliant cell production (hPL A) and a commercial available alternative (hPL B). A comparison between their protein composition and biological activity was performed through proteomic profiling. Knee cartilage cells were characterized for proliferation, surface marker expression, karyotype stability, and used for the spheroid production. The obtained spheroids were characterized for cellularity and matrix production.</w:t>
      </w:r>
    </w:p>
    <w:p w14:paraId="3911DB2B" w14:textId="30C86075" w:rsidR="00262E05" w:rsidRPr="00CC3FFF" w:rsidRDefault="00262E05" w:rsidP="00262E05">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The study identified suitable clinical-grade reagents for the production process and defined corrective measures for the risky phases. Proteomic analysis showed substantial differences for the supplements, in particular hPL A was enriched in extracellular matrix (ECM)-related proteins, while hPL B contained a higher abundance of cytoskeletal and immune-associated proteins. Cells cultured at low density in hPL B showed a significant increase in CD146 expression compared to those in hPL A. High proliferation, CD166 expression, a low immunogenicity profile and a stable karyotype were observed in cells cultured in both types of supplements. Spheroids cultured in hPL A showed lower cell density,</w:t>
      </w:r>
    </w:p>
    <w:p w14:paraId="7D11DE81" w14:textId="77777777" w:rsidR="00262E05" w:rsidRPr="00CC3FFF" w:rsidRDefault="00262E05" w:rsidP="00262E05">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higher glycosaminoglycan production and lower type I collagen synthesis in comparison with spheroids cultured in hPL B, while type II collagen was produced equally in both culture conditions.</w:t>
      </w:r>
    </w:p>
    <w:p w14:paraId="5C741D09" w14:textId="796A3874" w:rsidR="00C31F2C" w:rsidRPr="00CC3FFF" w:rsidRDefault="00262E05" w:rsidP="00262E05">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Conclusion</w:t>
      </w:r>
      <w:r w:rsidR="005C0B02">
        <w:rPr>
          <w:rFonts w:ascii="Times New Roman" w:hAnsi="Times New Roman" w:cs="Times New Roman"/>
          <w:bCs/>
          <w:iCs/>
          <w:caps/>
          <w:sz w:val="20"/>
          <w:szCs w:val="18"/>
        </w:rPr>
        <w:t>S</w:t>
      </w:r>
      <w:r w:rsidRPr="00CC3FFF">
        <w:rPr>
          <w:rFonts w:ascii="Times New Roman" w:hAnsi="Times New Roman" w:cs="Times New Roman"/>
          <w:bCs/>
          <w:iCs/>
          <w:caps/>
          <w:sz w:val="20"/>
          <w:szCs w:val="18"/>
        </w:rPr>
        <w:t xml:space="preserve">: </w:t>
      </w:r>
      <w:r w:rsidRPr="00CC3FFF">
        <w:rPr>
          <w:rFonts w:ascii="Times New Roman" w:hAnsi="Times New Roman" w:cs="Times New Roman"/>
          <w:bCs/>
          <w:iCs/>
          <w:sz w:val="20"/>
          <w:szCs w:val="18"/>
        </w:rPr>
        <w:t xml:space="preserve">The study successfully identified reagents and procedures for GMP-compliant production of cartilage cells. Although distinct hPL protein profiles influenced spheroid matrix properties, </w:t>
      </w:r>
      <w:r w:rsidRPr="00CC3FFF">
        <w:rPr>
          <w:rFonts w:ascii="Times New Roman" w:hAnsi="Times New Roman" w:cs="Times New Roman"/>
          <w:bCs/>
          <w:iCs/>
          <w:sz w:val="20"/>
          <w:szCs w:val="18"/>
        </w:rPr>
        <w:lastRenderedPageBreak/>
        <w:t>both supplements ensured an enrichment in progenitor cells. This allows the production of a large number of cartilage cells meeting safety limits and suitable for the treatment of diffuse cartilage lesions.</w:t>
      </w:r>
    </w:p>
    <w:p w14:paraId="6D8AD249"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39EFED49" w14:textId="2BB7AC94" w:rsidR="007D3CFB" w:rsidRPr="00CC3FFF" w:rsidRDefault="007D3CFB" w:rsidP="007D3CFB">
      <w:pPr>
        <w:adjustRightInd w:val="0"/>
        <w:snapToGrid w:val="0"/>
        <w:spacing w:line="260" w:lineRule="atLeast"/>
        <w:rPr>
          <w:rFonts w:ascii="Times New Roman" w:hAnsi="Times New Roman" w:cs="Times New Roman"/>
          <w:b/>
          <w:bCs/>
          <w:iCs/>
          <w:caps/>
          <w:sz w:val="20"/>
          <w:szCs w:val="18"/>
        </w:rPr>
      </w:pPr>
      <w:r w:rsidRPr="00CC3FFF">
        <w:rPr>
          <w:rFonts w:ascii="Times New Roman" w:hAnsi="Times New Roman" w:cs="Times New Roman"/>
          <w:b/>
          <w:bCs/>
          <w:iCs/>
          <w:sz w:val="20"/>
          <w:szCs w:val="18"/>
        </w:rPr>
        <w:t>52</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 xml:space="preserve">Side-to-side characterisation of soluble factors, cellular content and </w:t>
      </w:r>
      <w:r w:rsidRPr="00CC3FFF">
        <w:rPr>
          <w:rFonts w:ascii="Times New Roman" w:hAnsi="Times New Roman" w:cs="Times New Roman"/>
          <w:b/>
          <w:bCs/>
          <w:i/>
          <w:iCs/>
          <w:caps/>
          <w:sz w:val="20"/>
          <w:szCs w:val="18"/>
        </w:rPr>
        <w:t xml:space="preserve">in vitro </w:t>
      </w:r>
      <w:r w:rsidRPr="00CC3FFF">
        <w:rPr>
          <w:rFonts w:ascii="Times New Roman" w:hAnsi="Times New Roman" w:cs="Times New Roman"/>
          <w:b/>
          <w:bCs/>
          <w:iCs/>
          <w:caps/>
          <w:sz w:val="20"/>
          <w:szCs w:val="18"/>
        </w:rPr>
        <w:t>potential on chondrocytes for MSCs based adipose-derived stromal vascular fraction and bone marrow aspirate concentrate</w:t>
      </w:r>
    </w:p>
    <w:p w14:paraId="7D2E3AB3" w14:textId="77777777" w:rsidR="007D3CFB" w:rsidRPr="00CC3FFF" w:rsidRDefault="007D3CFB" w:rsidP="00C31F2C">
      <w:pPr>
        <w:adjustRightInd w:val="0"/>
        <w:snapToGrid w:val="0"/>
        <w:spacing w:line="260" w:lineRule="atLeast"/>
        <w:rPr>
          <w:rFonts w:ascii="Times New Roman" w:hAnsi="Times New Roman" w:cs="Times New Roman"/>
          <w:bCs/>
          <w:iCs/>
          <w:sz w:val="20"/>
          <w:szCs w:val="18"/>
        </w:rPr>
      </w:pPr>
    </w:p>
    <w:p w14:paraId="184D1591" w14:textId="7D3CF361" w:rsidR="00C31F2C" w:rsidRPr="00CC3FFF" w:rsidRDefault="007D3CFB" w:rsidP="00C31F2C">
      <w:pPr>
        <w:adjustRightInd w:val="0"/>
        <w:snapToGrid w:val="0"/>
        <w:spacing w:line="260" w:lineRule="atLeast"/>
        <w:rPr>
          <w:rFonts w:ascii="Times New Roman" w:hAnsi="Times New Roman" w:cs="Times New Roman"/>
          <w:bCs/>
          <w:iCs/>
          <w:sz w:val="20"/>
          <w:szCs w:val="18"/>
          <w:vertAlign w:val="superscript"/>
          <w:lang w:val="it-IT"/>
        </w:rPr>
      </w:pPr>
      <w:r w:rsidRPr="00CC3FFF">
        <w:rPr>
          <w:rFonts w:ascii="Times New Roman" w:hAnsi="Times New Roman" w:cs="Times New Roman"/>
          <w:bCs/>
          <w:iCs/>
          <w:sz w:val="20"/>
          <w:szCs w:val="18"/>
          <w:lang w:val="it-IT"/>
        </w:rPr>
        <w:t>E. Ragni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Taiana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S. Landoni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E. Kon</w:t>
      </w:r>
      <w:r w:rsidRPr="00CC3FFF">
        <w:rPr>
          <w:rFonts w:ascii="Times New Roman" w:hAnsi="Times New Roman" w:cs="Times New Roman"/>
          <w:bCs/>
          <w:iCs/>
          <w:sz w:val="20"/>
          <w:szCs w:val="18"/>
          <w:vertAlign w:val="superscript"/>
          <w:lang w:val="it-IT"/>
        </w:rPr>
        <w:t>2,3</w:t>
      </w:r>
      <w:r w:rsidRPr="00CC3FFF">
        <w:rPr>
          <w:rFonts w:ascii="Times New Roman" w:hAnsi="Times New Roman" w:cs="Times New Roman"/>
          <w:bCs/>
          <w:iCs/>
          <w:sz w:val="20"/>
          <w:szCs w:val="18"/>
          <w:lang w:val="it-IT"/>
        </w:rPr>
        <w:t>, G. Grieco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R. Lauro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C. Visconte</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C. Colombo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 Mangiavini</w:t>
      </w:r>
      <w:r w:rsidRPr="00CC3FFF">
        <w:rPr>
          <w:rFonts w:ascii="Times New Roman" w:hAnsi="Times New Roman" w:cs="Times New Roman"/>
          <w:bCs/>
          <w:iCs/>
          <w:sz w:val="20"/>
          <w:szCs w:val="18"/>
          <w:vertAlign w:val="superscript"/>
          <w:lang w:val="it-IT"/>
        </w:rPr>
        <w:t>4,5</w:t>
      </w:r>
      <w:r w:rsidRPr="00CC3FFF">
        <w:rPr>
          <w:rFonts w:ascii="Times New Roman" w:hAnsi="Times New Roman" w:cs="Times New Roman"/>
          <w:bCs/>
          <w:iCs/>
          <w:sz w:val="20"/>
          <w:szCs w:val="18"/>
          <w:lang w:val="it-IT"/>
        </w:rPr>
        <w:t>, G. Peretti</w:t>
      </w:r>
      <w:r w:rsidRPr="00CC3FFF">
        <w:rPr>
          <w:rFonts w:ascii="Times New Roman" w:hAnsi="Times New Roman" w:cs="Times New Roman"/>
          <w:bCs/>
          <w:iCs/>
          <w:sz w:val="20"/>
          <w:szCs w:val="18"/>
          <w:vertAlign w:val="superscript"/>
          <w:lang w:val="it-IT"/>
        </w:rPr>
        <w:t>4,5</w:t>
      </w:r>
      <w:r w:rsidRPr="00CC3FFF">
        <w:rPr>
          <w:rFonts w:ascii="Times New Roman" w:hAnsi="Times New Roman" w:cs="Times New Roman"/>
          <w:bCs/>
          <w:iCs/>
          <w:sz w:val="20"/>
          <w:szCs w:val="18"/>
          <w:lang w:val="it-IT"/>
        </w:rPr>
        <w:t>, L. de Girolamo</w:t>
      </w:r>
      <w:r w:rsidRPr="00CC3FFF">
        <w:rPr>
          <w:rFonts w:ascii="Times New Roman" w:hAnsi="Times New Roman" w:cs="Times New Roman"/>
          <w:bCs/>
          <w:iCs/>
          <w:sz w:val="20"/>
          <w:szCs w:val="18"/>
          <w:vertAlign w:val="superscript"/>
          <w:lang w:val="it-IT"/>
        </w:rPr>
        <w:t>1</w:t>
      </w:r>
    </w:p>
    <w:p w14:paraId="2651DDEE" w14:textId="77777777" w:rsidR="007D3CFB" w:rsidRPr="00CC3FFF" w:rsidRDefault="007D3CFB" w:rsidP="00C31F2C">
      <w:pPr>
        <w:adjustRightInd w:val="0"/>
        <w:snapToGrid w:val="0"/>
        <w:spacing w:line="260" w:lineRule="atLeast"/>
        <w:rPr>
          <w:rFonts w:ascii="Times New Roman" w:hAnsi="Times New Roman" w:cs="Times New Roman"/>
          <w:bCs/>
          <w:iCs/>
          <w:sz w:val="20"/>
          <w:szCs w:val="18"/>
          <w:lang w:val="it-IT"/>
        </w:rPr>
      </w:pPr>
    </w:p>
    <w:p w14:paraId="1473F578" w14:textId="77777777" w:rsidR="00A8433D" w:rsidRPr="00CC3FFF" w:rsidRDefault="007D3CFB" w:rsidP="007D3CFB">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Laboratorio di Biotecnologie Applicate all’Ortopedia, IRCCS Ospedale Galeaz</w:t>
      </w:r>
      <w:r w:rsidR="00A8433D" w:rsidRPr="00CC3FFF">
        <w:rPr>
          <w:rFonts w:ascii="Times New Roman" w:hAnsi="Times New Roman" w:cs="Times New Roman"/>
          <w:bCs/>
          <w:iCs/>
          <w:sz w:val="20"/>
          <w:szCs w:val="18"/>
          <w:lang w:val="it-IT"/>
        </w:rPr>
        <w:t>zi-Sant’Ambrogio, Milano, Italy</w:t>
      </w:r>
    </w:p>
    <w:p w14:paraId="5EEF6482" w14:textId="696CF806" w:rsidR="007D3CFB" w:rsidRPr="00CC3FFF" w:rsidRDefault="007D3CFB" w:rsidP="007D3CFB">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IRCCS Humanitas Research Hospital, Rozzano, Italy</w:t>
      </w:r>
    </w:p>
    <w:p w14:paraId="20EFB4D5" w14:textId="1775792D" w:rsidR="007D3CFB" w:rsidRPr="00CC3FFF" w:rsidRDefault="007D3CFB"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3</w:t>
      </w:r>
      <w:r w:rsidRPr="00CC3FFF">
        <w:rPr>
          <w:rFonts w:ascii="Times New Roman" w:hAnsi="Times New Roman" w:cs="Times New Roman"/>
          <w:bCs/>
          <w:iCs/>
          <w:sz w:val="20"/>
          <w:szCs w:val="18"/>
        </w:rPr>
        <w:t>Dep</w:t>
      </w:r>
      <w:r w:rsidR="00A8433D"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Biomedical Sciences, Humanitas University, Pieve Emanuele, Italy</w:t>
      </w:r>
    </w:p>
    <w:p w14:paraId="26F90E8C" w14:textId="29995FC7" w:rsidR="007D3CFB" w:rsidRPr="00CC3FFF" w:rsidRDefault="007D3CFB"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4</w:t>
      </w:r>
      <w:r w:rsidRPr="00CC3FFF">
        <w:rPr>
          <w:rFonts w:ascii="Times New Roman" w:hAnsi="Times New Roman" w:cs="Times New Roman"/>
          <w:bCs/>
          <w:iCs/>
          <w:sz w:val="20"/>
          <w:szCs w:val="18"/>
        </w:rPr>
        <w:t>Dep</w:t>
      </w:r>
      <w:r w:rsidR="00A8433D"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Biomedical Sciences for Health, University of Milan, Milan, Italy</w:t>
      </w:r>
    </w:p>
    <w:p w14:paraId="3BAFC90E" w14:textId="77777777" w:rsidR="007D3CFB" w:rsidRPr="00CC3FFF" w:rsidRDefault="007D3CFB" w:rsidP="007D3CFB">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5</w:t>
      </w:r>
      <w:r w:rsidRPr="00CC3FFF">
        <w:rPr>
          <w:rFonts w:ascii="Times New Roman" w:hAnsi="Times New Roman" w:cs="Times New Roman"/>
          <w:bCs/>
          <w:iCs/>
          <w:sz w:val="20"/>
          <w:szCs w:val="18"/>
          <w:lang w:val="it-IT"/>
        </w:rPr>
        <w:t>Unità Operativa E.U.O.R.R., IRCCS Ospedale Galeazzi-Sant’Ambrogio, Milan, Italy</w:t>
      </w:r>
    </w:p>
    <w:p w14:paraId="7FCEE500"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181626DB" w14:textId="5ABA4905" w:rsidR="007D3CFB" w:rsidRPr="00CC3FFF" w:rsidRDefault="007D3CFB" w:rsidP="007D3CFB">
      <w:pPr>
        <w:adjustRightInd w:val="0"/>
        <w:snapToGrid w:val="0"/>
        <w:spacing w:line="260" w:lineRule="atLeast"/>
        <w:rPr>
          <w:rFonts w:ascii="Times New Roman" w:hAnsi="Times New Roman" w:cs="Times New Roman"/>
          <w:bCs/>
          <w:iCs/>
          <w:cap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Orthobiologics are increasingly used for musculoskeletal disorders, including osteoarthritis (OA). Bone marrow aspirate concentrate (BMAC) and adipose-derived stromal vascular fraction (SVF) have been reported to reduce OA symptoms and contribute to joint homeostasis due to their mesenchymal stromal cells (MSCs) content. However, variability in production protocols and limited characterisation hinder clear indications for choosing one product over the other. This study aimed to characterise BMAC and SVF side by side, obtained using the same family of devices, by assessing cell immunophenotype, soluble factor release, and anti-inflammatory activity in a pathological in vitro chondrocyte model.</w:t>
      </w:r>
    </w:p>
    <w:p w14:paraId="04A25DEA" w14:textId="5231CFAD" w:rsidR="007D3CFB" w:rsidRPr="00CC3FFF" w:rsidRDefault="007D3CFB"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BMAC (iliac crest) and SVF (abdominal liposuction) were obtained from 28 (55 ± 8 years) and 39 patients (56 ± 9 years), respectively, using Hy-Tissue BMAC and Hy-Tissue SVF systems.</w:t>
      </w:r>
      <w:r w:rsidR="005C0B02">
        <w:rPr>
          <w:rFonts w:ascii="Times New Roman" w:hAnsi="Times New Roman" w:cs="Times New Roman"/>
          <w:bCs/>
          <w:iCs/>
          <w:sz w:val="20"/>
          <w:szCs w:val="18"/>
        </w:rPr>
        <w:t xml:space="preserve"> </w:t>
      </w:r>
      <w:r w:rsidRPr="00CC3FFF">
        <w:rPr>
          <w:rFonts w:ascii="Times New Roman" w:hAnsi="Times New Roman" w:cs="Times New Roman"/>
          <w:bCs/>
          <w:iCs/>
          <w:sz w:val="20"/>
          <w:szCs w:val="18"/>
        </w:rPr>
        <w:t>Cellular composition was analysed, and MSCs were quantified by flow cytometry (CD45</w:t>
      </w:r>
      <w:r w:rsidRPr="005C0B02">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CD31</w:t>
      </w:r>
      <w:r w:rsidRPr="005C0B02">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CD34</w:t>
      </w:r>
      <w:r w:rsidRPr="005C0B02">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CD90</w:t>
      </w:r>
      <w:r w:rsidRPr="005C0B02">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CD105</w:t>
      </w:r>
      <w:r w:rsidRPr="005C0B02">
        <w:rPr>
          <w:rFonts w:ascii="Times New Roman" w:hAnsi="Times New Roman" w:cs="Times New Roman"/>
          <w:bCs/>
          <w:iCs/>
          <w:sz w:val="20"/>
          <w:szCs w:val="18"/>
          <w:vertAlign w:val="superscript"/>
        </w:rPr>
        <w:t>-/low</w:t>
      </w:r>
      <w:r w:rsidRPr="00CC3FFF">
        <w:rPr>
          <w:rFonts w:ascii="Times New Roman" w:hAnsi="Times New Roman" w:cs="Times New Roman"/>
          <w:bCs/>
          <w:iCs/>
          <w:sz w:val="20"/>
          <w:szCs w:val="18"/>
        </w:rPr>
        <w:t>CD146</w:t>
      </w:r>
      <w:r w:rsidRPr="005C0B02">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 xml:space="preserve"> for adipose-derived MSCs; CD45</w:t>
      </w:r>
      <w:r w:rsidRPr="005C0B02">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CD271</w:t>
      </w:r>
      <w:r w:rsidRPr="005C0B02">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 xml:space="preserve"> for bone marrow-derived MSCs). Two hundred soluble factors (cytokines, chemokines, receptors, growth factors, and inflammatory molecules) were assessed by enzyme-linked immunosorbent assay (ELISA).</w:t>
      </w:r>
      <w:r w:rsidR="005C0B02">
        <w:rPr>
          <w:rFonts w:ascii="Times New Roman" w:hAnsi="Times New Roman" w:cs="Times New Roman"/>
          <w:bCs/>
          <w:iCs/>
          <w:sz w:val="20"/>
          <w:szCs w:val="18"/>
        </w:rPr>
        <w:t xml:space="preserve"> </w:t>
      </w:r>
      <w:r w:rsidRPr="00CC3FFF">
        <w:rPr>
          <w:rFonts w:ascii="Times New Roman" w:hAnsi="Times New Roman" w:cs="Times New Roman"/>
          <w:bCs/>
          <w:iCs/>
          <w:sz w:val="20"/>
          <w:szCs w:val="18"/>
        </w:rPr>
        <w:t>Anti-inflammatory effects were evaluated in interleukin-1 beta (IL-1β)-stimulated chondrocytes using quantitative reverse transcription polymerase chain reaction (qRT-PCR) arrays targeting 84 inflammation-related genes.</w:t>
      </w:r>
    </w:p>
    <w:p w14:paraId="76C42A94" w14:textId="61AD6CBB" w:rsidR="007D3CFB" w:rsidRPr="00CC3FFF" w:rsidRDefault="007D3CFB" w:rsidP="007D3CFB">
      <w:pPr>
        <w:adjustRightInd w:val="0"/>
        <w:snapToGrid w:val="0"/>
        <w:spacing w:line="260" w:lineRule="atLeast"/>
        <w:rPr>
          <w:rFonts w:ascii="Times New Roman" w:hAnsi="Times New Roman" w:cs="Times New Roman"/>
          <w:bCs/>
          <w:iCs/>
          <w:cap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BMAC showed higher concentrations of white blood cells (213×), erythrocytes (49×), and platelets (25×), while MSC numbers were comparable between products (~1000 cells/mL). A total of 121 soluble factors were detected in all samples, with 88 more abundant in BMAC and one in SVF. Gene ontology analysis indicated that the most concentrated molecules were mainly growth factors and/or involved in differentiation processes. Both orthobiologics reduced inflammation in the in vitro chondrocyte model, with BMAC showing greater efficacy.</w:t>
      </w:r>
    </w:p>
    <w:p w14:paraId="18BF8E11" w14:textId="1C1EF019" w:rsidR="007D3CFB" w:rsidRPr="00CC3FFF" w:rsidRDefault="007D3CFB" w:rsidP="007D3CFB">
      <w:pPr>
        <w:adjustRightInd w:val="0"/>
        <w:snapToGrid w:val="0"/>
        <w:spacing w:line="260" w:lineRule="atLeast"/>
        <w:rPr>
          <w:rFonts w:ascii="Times New Roman" w:hAnsi="Times New Roman" w:cs="Times New Roman"/>
          <w:bCs/>
          <w:iCs/>
          <w:cap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Using specific commercial systems, both orthobiologics demonstrated anti-inflammatory effects in vitro. BMAC exhibited higher blood cell and growth factor content than SVF, associated with greater efficacy. However, variability among commercial devices limits generalisability, and further studies are required when different systems are used.</w:t>
      </w:r>
    </w:p>
    <w:p w14:paraId="2A9646AB"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24E03C44" w14:textId="67E0CE61" w:rsidR="007D3CFB" w:rsidRPr="00CC3FFF" w:rsidRDefault="007D3CFB" w:rsidP="007D3CFB">
      <w:pPr>
        <w:adjustRightInd w:val="0"/>
        <w:snapToGrid w:val="0"/>
        <w:spacing w:line="260" w:lineRule="atLeast"/>
        <w:rPr>
          <w:rFonts w:ascii="Times New Roman" w:hAnsi="Times New Roman" w:cs="Times New Roman"/>
          <w:b/>
          <w:bCs/>
          <w:iCs/>
          <w:caps/>
          <w:sz w:val="20"/>
          <w:szCs w:val="18"/>
        </w:rPr>
      </w:pPr>
      <w:r w:rsidRPr="00CC3FFF">
        <w:rPr>
          <w:rFonts w:ascii="Times New Roman" w:hAnsi="Times New Roman" w:cs="Times New Roman"/>
          <w:b/>
          <w:bCs/>
          <w:iCs/>
          <w:sz w:val="20"/>
          <w:szCs w:val="18"/>
        </w:rPr>
        <w:t>53</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Culture-driven selection of SSEA3</w:t>
      </w:r>
      <w:r w:rsidRPr="00CC3FFF">
        <w:rPr>
          <w:rFonts w:ascii="Times New Roman" w:hAnsi="Times New Roman" w:cs="Times New Roman"/>
          <w:b/>
          <w:bCs/>
          <w:iCs/>
          <w:caps/>
          <w:sz w:val="20"/>
          <w:szCs w:val="18"/>
          <w:vertAlign w:val="superscript"/>
        </w:rPr>
        <w:t>+</w:t>
      </w:r>
      <w:r w:rsidRPr="00CC3FFF">
        <w:rPr>
          <w:rFonts w:ascii="Times New Roman" w:hAnsi="Times New Roman" w:cs="Times New Roman"/>
          <w:b/>
          <w:bCs/>
          <w:iCs/>
          <w:caps/>
          <w:sz w:val="20"/>
          <w:szCs w:val="18"/>
        </w:rPr>
        <w:t xml:space="preserve"> pluripotent MUSE-like cells from human mesenchymal stem cells</w:t>
      </w:r>
    </w:p>
    <w:p w14:paraId="6D968863" w14:textId="77777777" w:rsidR="007D3CFB" w:rsidRPr="00CC3FFF" w:rsidRDefault="007D3CFB" w:rsidP="007D3CFB">
      <w:pPr>
        <w:adjustRightInd w:val="0"/>
        <w:snapToGrid w:val="0"/>
        <w:spacing w:line="260" w:lineRule="atLeast"/>
        <w:rPr>
          <w:rFonts w:ascii="Times New Roman" w:hAnsi="Times New Roman" w:cs="Times New Roman"/>
          <w:b/>
          <w:bCs/>
          <w:iCs/>
          <w:caps/>
          <w:sz w:val="20"/>
          <w:szCs w:val="18"/>
        </w:rPr>
      </w:pPr>
    </w:p>
    <w:p w14:paraId="48A2A670" w14:textId="3773D588" w:rsidR="007D3CFB" w:rsidRPr="00CC3FFF" w:rsidRDefault="007D3CFB" w:rsidP="007D3CFB">
      <w:pPr>
        <w:adjustRightInd w:val="0"/>
        <w:snapToGrid w:val="0"/>
        <w:spacing w:line="260" w:lineRule="atLeast"/>
        <w:rPr>
          <w:rFonts w:ascii="Times New Roman" w:hAnsi="Times New Roman" w:cs="Times New Roman"/>
          <w:bCs/>
          <w:iCs/>
          <w:sz w:val="20"/>
          <w:szCs w:val="18"/>
          <w:vertAlign w:val="superscript"/>
          <w:lang w:val="it-IT"/>
        </w:rPr>
      </w:pPr>
      <w:r w:rsidRPr="00CC3FFF">
        <w:rPr>
          <w:rFonts w:ascii="Times New Roman" w:hAnsi="Times New Roman" w:cs="Times New Roman"/>
          <w:bCs/>
          <w:iCs/>
          <w:sz w:val="20"/>
          <w:szCs w:val="18"/>
          <w:lang w:val="it-IT"/>
        </w:rPr>
        <w:t>A. Repetto</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A. Muraglia</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G. Filaci</w:t>
      </w:r>
      <w:r w:rsidRPr="00CC3FFF">
        <w:rPr>
          <w:rFonts w:ascii="Times New Roman" w:hAnsi="Times New Roman" w:cs="Times New Roman"/>
          <w:bCs/>
          <w:iCs/>
          <w:sz w:val="20"/>
          <w:szCs w:val="18"/>
          <w:vertAlign w:val="superscript"/>
          <w:lang w:val="it-IT"/>
        </w:rPr>
        <w:t>1,2</w:t>
      </w:r>
      <w:r w:rsidRPr="00CC3FFF">
        <w:rPr>
          <w:rFonts w:ascii="Times New Roman" w:hAnsi="Times New Roman" w:cs="Times New Roman"/>
          <w:bCs/>
          <w:iCs/>
          <w:sz w:val="20"/>
          <w:szCs w:val="18"/>
          <w:lang w:val="it-IT"/>
        </w:rPr>
        <w:t>, D. Reverberi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R. Cancedda</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M. Mastrogiacomo</w:t>
      </w:r>
      <w:r w:rsidRPr="00CC3FFF">
        <w:rPr>
          <w:rFonts w:ascii="Times New Roman" w:hAnsi="Times New Roman" w:cs="Times New Roman"/>
          <w:bCs/>
          <w:iCs/>
          <w:sz w:val="20"/>
          <w:szCs w:val="18"/>
          <w:vertAlign w:val="superscript"/>
          <w:lang w:val="it-IT"/>
        </w:rPr>
        <w:t>1,2</w:t>
      </w:r>
    </w:p>
    <w:p w14:paraId="302E4C85" w14:textId="77777777" w:rsidR="007D3CFB" w:rsidRPr="00CC3FFF" w:rsidRDefault="007D3CFB" w:rsidP="007D3CFB">
      <w:pPr>
        <w:adjustRightInd w:val="0"/>
        <w:snapToGrid w:val="0"/>
        <w:spacing w:line="260" w:lineRule="atLeast"/>
        <w:rPr>
          <w:rFonts w:ascii="Times New Roman" w:hAnsi="Times New Roman" w:cs="Times New Roman"/>
          <w:bCs/>
          <w:iCs/>
          <w:sz w:val="20"/>
          <w:szCs w:val="18"/>
          <w:lang w:val="it-IT"/>
        </w:rPr>
      </w:pPr>
    </w:p>
    <w:p w14:paraId="5975713F" w14:textId="5E778B6C" w:rsidR="007D3CFB" w:rsidRPr="00CC3FFF" w:rsidRDefault="007D3CFB" w:rsidP="007D3CFB">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Dipartimento di Medicina Interna e Specialità Mediche, Università degli Studi di Genova, Genoa, Italy</w:t>
      </w:r>
    </w:p>
    <w:p w14:paraId="098656D5" w14:textId="77777777" w:rsidR="007D3CFB" w:rsidRPr="00CC3FFF" w:rsidRDefault="007D3CFB" w:rsidP="007D3CFB">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IRCCS Azienda Ospedaliera Metropolitana, Genoa, Italy</w:t>
      </w:r>
    </w:p>
    <w:p w14:paraId="01BDCDCC" w14:textId="77777777" w:rsidR="007D3CFB" w:rsidRPr="00CC3FFF" w:rsidRDefault="007D3CFB" w:rsidP="007D3CFB">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Professore Emerito, Dipartimento di Medicina Sperimentale, Università degli Studi di Genova, Genoa, Italy</w:t>
      </w:r>
    </w:p>
    <w:p w14:paraId="7A4FAE18"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0BB28CD3" w14:textId="002B2BE0" w:rsidR="007D3CFB" w:rsidRPr="00CC3FFF" w:rsidRDefault="00A8433D"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 xml:space="preserve">OBJECTIVE: </w:t>
      </w:r>
      <w:r w:rsidR="007D3CFB" w:rsidRPr="00CC3FFF">
        <w:rPr>
          <w:rFonts w:ascii="Times New Roman" w:hAnsi="Times New Roman" w:cs="Times New Roman"/>
          <w:bCs/>
          <w:iCs/>
          <w:sz w:val="20"/>
          <w:szCs w:val="18"/>
        </w:rPr>
        <w:t>Mesenchymal stem cells (MSCs) are widely used in regenerative medicine for their strong differentiation potential, yet their quality is strongly influenced by culture conditions. Although embryonic stem cells (ESCs) remain the reference standard for pluripotency, MSCs share several functional traits with them, suggesting a possible functional hierarchy. While standard media often rely on fetal bovine serum</w:t>
      </w:r>
    </w:p>
    <w:p w14:paraId="03E45EC7" w14:textId="77777777" w:rsidR="00A8433D" w:rsidRPr="00CC3FFF" w:rsidRDefault="007D3CFB"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(FBS), Human Plasma provides a more natural environment. This study examines whether plasma-based media enriched with FGF-2 or Platelet Lysate (PL) can drive the selection and maintenance of the pluripotent SSEA-3</w:t>
      </w:r>
      <w:r w:rsidRPr="005C0B02">
        <w:rPr>
          <w:rFonts w:ascii="Times New Roman" w:hAnsi="Times New Roman" w:cs="Times New Roman"/>
          <w:bCs/>
          <w:iCs/>
          <w:sz w:val="20"/>
          <w:szCs w:val="18"/>
          <w:vertAlign w:val="superscript"/>
        </w:rPr>
        <w:t>+</w:t>
      </w:r>
      <w:r w:rsidRPr="00CC3FFF">
        <w:rPr>
          <w:rFonts w:ascii="Times New Roman" w:hAnsi="Times New Roman" w:cs="Times New Roman"/>
          <w:bCs/>
          <w:iCs/>
          <w:sz w:val="20"/>
          <w:szCs w:val="18"/>
        </w:rPr>
        <w:t xml:space="preserve"> MUSE-like subpopulation, preserving a reservoir of primitive cells wit</w:t>
      </w:r>
      <w:r w:rsidR="00A8433D" w:rsidRPr="00CC3FFF">
        <w:rPr>
          <w:rFonts w:ascii="Times New Roman" w:hAnsi="Times New Roman" w:cs="Times New Roman"/>
          <w:bCs/>
          <w:iCs/>
          <w:sz w:val="20"/>
          <w:szCs w:val="18"/>
        </w:rPr>
        <w:t>hin the adult bone marrow.</w:t>
      </w:r>
    </w:p>
    <w:p w14:paraId="6C20005C" w14:textId="77777777" w:rsidR="00A8433D" w:rsidRPr="00CC3FFF" w:rsidRDefault="00A8433D"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 xml:space="preserve">MATERIALS AND METHODS: </w:t>
      </w:r>
      <w:r w:rsidR="007D3CFB" w:rsidRPr="00CC3FFF">
        <w:rPr>
          <w:rFonts w:ascii="Times New Roman" w:hAnsi="Times New Roman" w:cs="Times New Roman"/>
          <w:bCs/>
          <w:iCs/>
          <w:sz w:val="20"/>
          <w:szCs w:val="18"/>
        </w:rPr>
        <w:t>MSCs derived from femoral bone marrow were cultured in media containing 5% plasma and 1% PL (P+PL) or 5% plasma and FGF-2 (1ng/ml) (P+F). At passage 1 and 3, both populations were analysed for their clonogenic potential (CFU-f assay), cell proliferation (doublings), OCT4, SOX-2 and BMP-2 gene expression (qPCR) as stem cell and lineage commitment markers, respectively, MSC surface markers, and cell membrane presence of Stage-Specific Embryonic Antigen 3 (SSEA-3) (pluripotency marker) by flow cytometry.</w:t>
      </w:r>
    </w:p>
    <w:p w14:paraId="4A3BC89F" w14:textId="77777777" w:rsidR="00A8433D" w:rsidRPr="00CC3FFF" w:rsidRDefault="00A8433D"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 xml:space="preserve">RESULTS: </w:t>
      </w:r>
      <w:r w:rsidR="007D3CFB" w:rsidRPr="00CC3FFF">
        <w:rPr>
          <w:rFonts w:ascii="Times New Roman" w:hAnsi="Times New Roman" w:cs="Times New Roman"/>
          <w:bCs/>
          <w:iCs/>
          <w:sz w:val="20"/>
          <w:szCs w:val="18"/>
        </w:rPr>
        <w:t>MSCs cultured in the P+PL medium induced a highly proliferative phenotype characterized by enhanced osteogenic and adipogenic differentiation, resulting in greater matrix and lipid deposition compared to P+FGF. In contrast, P+F maintained cells in a quiescent, slow-cycling</w:t>
      </w:r>
      <w:r w:rsidRPr="00CC3FFF">
        <w:rPr>
          <w:rFonts w:ascii="Times New Roman" w:hAnsi="Times New Roman" w:cs="Times New Roman"/>
          <w:bCs/>
          <w:iCs/>
          <w:sz w:val="20"/>
          <w:szCs w:val="18"/>
        </w:rPr>
        <w:t xml:space="preserve"> </w:t>
      </w:r>
      <w:r w:rsidR="007D3CFB" w:rsidRPr="00CC3FFF">
        <w:rPr>
          <w:rFonts w:ascii="Times New Roman" w:hAnsi="Times New Roman" w:cs="Times New Roman"/>
          <w:bCs/>
          <w:iCs/>
          <w:sz w:val="20"/>
          <w:szCs w:val="18"/>
        </w:rPr>
        <w:t>state. Crucially, this condition proved superior in preserving stemness, as shown by higher expression of OCT4 and SOX-2. Most notably, flow cytometry revealed that P+F actively supports the persistence of the SSEA-3</w:t>
      </w:r>
      <w:r w:rsidR="007D3CFB" w:rsidRPr="005C0B02">
        <w:rPr>
          <w:rFonts w:ascii="Times New Roman" w:hAnsi="Times New Roman" w:cs="Times New Roman"/>
          <w:bCs/>
          <w:iCs/>
          <w:sz w:val="20"/>
          <w:szCs w:val="18"/>
          <w:vertAlign w:val="superscript"/>
        </w:rPr>
        <w:t>+</w:t>
      </w:r>
      <w:r w:rsidR="007D3CFB" w:rsidRPr="00CC3FFF">
        <w:rPr>
          <w:rFonts w:ascii="Times New Roman" w:hAnsi="Times New Roman" w:cs="Times New Roman"/>
          <w:bCs/>
          <w:iCs/>
          <w:sz w:val="20"/>
          <w:szCs w:val="18"/>
        </w:rPr>
        <w:t xml:space="preserve"> MUSE-like subpopulation, which was significantly reduced in P+PL. The identity of these cells was confirmed by cell sorting: the isolated SSEA-3</w:t>
      </w:r>
      <w:r w:rsidR="007D3CFB" w:rsidRPr="005C0B02">
        <w:rPr>
          <w:rFonts w:ascii="Times New Roman" w:hAnsi="Times New Roman" w:cs="Times New Roman"/>
          <w:bCs/>
          <w:iCs/>
          <w:sz w:val="20"/>
          <w:szCs w:val="18"/>
          <w:vertAlign w:val="superscript"/>
        </w:rPr>
        <w:t>+</w:t>
      </w:r>
      <w:r w:rsidR="007D3CFB" w:rsidRPr="00CC3FFF">
        <w:rPr>
          <w:rFonts w:ascii="Times New Roman" w:hAnsi="Times New Roman" w:cs="Times New Roman"/>
          <w:bCs/>
          <w:iCs/>
          <w:sz w:val="20"/>
          <w:szCs w:val="18"/>
        </w:rPr>
        <w:t xml:space="preserve"> fraction demonstrated the unique capacity</w:t>
      </w:r>
      <w:r w:rsidRPr="00CC3FFF">
        <w:rPr>
          <w:rFonts w:ascii="Times New Roman" w:hAnsi="Times New Roman" w:cs="Times New Roman"/>
          <w:bCs/>
          <w:iCs/>
          <w:sz w:val="20"/>
          <w:szCs w:val="18"/>
        </w:rPr>
        <w:t xml:space="preserve"> </w:t>
      </w:r>
      <w:r w:rsidR="007D3CFB" w:rsidRPr="00CC3FFF">
        <w:rPr>
          <w:rFonts w:ascii="Times New Roman" w:hAnsi="Times New Roman" w:cs="Times New Roman"/>
          <w:bCs/>
          <w:iCs/>
          <w:sz w:val="20"/>
          <w:szCs w:val="18"/>
        </w:rPr>
        <w:t>to form pluripotent-like clusters in suspension, validating the role of the Plasma/FGF-2 environment in sel</w:t>
      </w:r>
      <w:r w:rsidRPr="00CC3FFF">
        <w:rPr>
          <w:rFonts w:ascii="Times New Roman" w:hAnsi="Times New Roman" w:cs="Times New Roman"/>
          <w:bCs/>
          <w:iCs/>
          <w:sz w:val="20"/>
          <w:szCs w:val="18"/>
        </w:rPr>
        <w:t xml:space="preserve">ecting this primitive reservoir. </w:t>
      </w:r>
      <w:r w:rsidR="007D3CFB" w:rsidRPr="00CC3FFF">
        <w:rPr>
          <w:rFonts w:ascii="Times New Roman" w:hAnsi="Times New Roman" w:cs="Times New Roman"/>
          <w:bCs/>
          <w:iCs/>
          <w:sz w:val="20"/>
          <w:szCs w:val="18"/>
        </w:rPr>
        <w:t>MSC quality is strongly influenced by culture conditions. In the</w:t>
      </w:r>
      <w:r w:rsidRPr="00CC3FFF">
        <w:rPr>
          <w:rFonts w:ascii="Times New Roman" w:hAnsi="Times New Roman" w:cs="Times New Roman"/>
          <w:bCs/>
          <w:iCs/>
          <w:sz w:val="20"/>
          <w:szCs w:val="18"/>
        </w:rPr>
        <w:t xml:space="preserve"> </w:t>
      </w:r>
      <w:r w:rsidR="007D3CFB" w:rsidRPr="00CC3FFF">
        <w:rPr>
          <w:rFonts w:ascii="Times New Roman" w:hAnsi="Times New Roman" w:cs="Times New Roman"/>
          <w:bCs/>
          <w:iCs/>
          <w:sz w:val="20"/>
          <w:szCs w:val="18"/>
        </w:rPr>
        <w:t>presence of PL, MSCs undergo a differentiation pathway, while FGF-2 is crucial in maintaining the cells in a stage clos</w:t>
      </w:r>
      <w:r w:rsidRPr="00CC3FFF">
        <w:rPr>
          <w:rFonts w:ascii="Times New Roman" w:hAnsi="Times New Roman" w:cs="Times New Roman"/>
          <w:bCs/>
          <w:iCs/>
          <w:sz w:val="20"/>
          <w:szCs w:val="18"/>
        </w:rPr>
        <w:t>er to the one of true ESCs.</w:t>
      </w:r>
    </w:p>
    <w:p w14:paraId="0E2D91E6" w14:textId="2BD4156B" w:rsidR="007D3CFB" w:rsidRPr="00CC3FFF" w:rsidRDefault="00A8433D"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rPr>
        <w:t xml:space="preserve">CONCLUSIONS: </w:t>
      </w:r>
      <w:r w:rsidR="007D3CFB" w:rsidRPr="00CC3FFF">
        <w:rPr>
          <w:rFonts w:ascii="Times New Roman" w:hAnsi="Times New Roman" w:cs="Times New Roman"/>
          <w:bCs/>
          <w:iCs/>
          <w:sz w:val="20"/>
          <w:szCs w:val="18"/>
        </w:rPr>
        <w:t>Our data confirm that this specific physiological environment is required to select and preserve the SSEA-3</w:t>
      </w:r>
      <w:r w:rsidR="007D3CFB" w:rsidRPr="005C0B02">
        <w:rPr>
          <w:rFonts w:ascii="Times New Roman" w:hAnsi="Times New Roman" w:cs="Times New Roman"/>
          <w:bCs/>
          <w:iCs/>
          <w:sz w:val="20"/>
          <w:szCs w:val="18"/>
          <w:vertAlign w:val="superscript"/>
        </w:rPr>
        <w:t>+</w:t>
      </w:r>
      <w:r w:rsidR="007D3CFB" w:rsidRPr="00CC3FFF">
        <w:rPr>
          <w:rFonts w:ascii="Times New Roman" w:hAnsi="Times New Roman" w:cs="Times New Roman"/>
          <w:bCs/>
          <w:iCs/>
          <w:sz w:val="20"/>
          <w:szCs w:val="18"/>
        </w:rPr>
        <w:t xml:space="preserve"> MUSE-like subpopulation, identifying the optimal strategy to obtain high-potency progenitors for regenerative medicine.</w:t>
      </w:r>
    </w:p>
    <w:p w14:paraId="79DD0C3C"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70AEA71B" w14:textId="744FFFA2" w:rsidR="007D3CFB" w:rsidRPr="00CC3FFF" w:rsidRDefault="007D3CFB" w:rsidP="007D3CFB">
      <w:pPr>
        <w:adjustRightInd w:val="0"/>
        <w:snapToGrid w:val="0"/>
        <w:spacing w:line="260" w:lineRule="atLeast"/>
        <w:rPr>
          <w:rFonts w:ascii="Times New Roman" w:hAnsi="Times New Roman" w:cs="Times New Roman"/>
          <w:b/>
          <w:bCs/>
          <w:iCs/>
          <w:caps/>
          <w:sz w:val="20"/>
          <w:szCs w:val="18"/>
        </w:rPr>
      </w:pPr>
      <w:r w:rsidRPr="00CC3FFF">
        <w:rPr>
          <w:rFonts w:ascii="Times New Roman" w:hAnsi="Times New Roman" w:cs="Times New Roman"/>
          <w:b/>
          <w:bCs/>
          <w:iCs/>
          <w:sz w:val="20"/>
          <w:szCs w:val="18"/>
        </w:rPr>
        <w:t>54</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Induced chondrocyte-derived small extracellular vesicles as a cell-free regenerative strategy for osteoarthritis</w:t>
      </w:r>
    </w:p>
    <w:p w14:paraId="08231B07" w14:textId="585930B6"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299FB36B" w14:textId="508A610D" w:rsidR="007D3CFB" w:rsidRPr="00CC3FFF" w:rsidRDefault="007D3CFB" w:rsidP="007D3CFB">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E. Rosselli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Balbi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J. Ekholm</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K. Vukusic</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A. Lindahl</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C. Gentili</w:t>
      </w:r>
      <w:r w:rsidRPr="00CC3FFF">
        <w:rPr>
          <w:rFonts w:ascii="Times New Roman" w:hAnsi="Times New Roman" w:cs="Times New Roman"/>
          <w:bCs/>
          <w:iCs/>
          <w:sz w:val="20"/>
          <w:szCs w:val="18"/>
          <w:vertAlign w:val="superscript"/>
          <w:lang w:val="it-IT"/>
        </w:rPr>
        <w:t>1</w:t>
      </w:r>
    </w:p>
    <w:p w14:paraId="6FF402FE"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4CB137F4" w14:textId="63D2866F" w:rsidR="007D3CFB" w:rsidRPr="00CC3FFF" w:rsidRDefault="007D3CFB"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Pr="00CC3FFF">
        <w:rPr>
          <w:rFonts w:ascii="Times New Roman" w:hAnsi="Times New Roman" w:cs="Times New Roman"/>
          <w:bCs/>
          <w:iCs/>
          <w:sz w:val="20"/>
          <w:szCs w:val="18"/>
        </w:rPr>
        <w:t>Dep</w:t>
      </w:r>
      <w:r w:rsidR="00A8433D"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Experimental Medicine (DIMES), University of Genoa, Genoa, Italy</w:t>
      </w:r>
    </w:p>
    <w:p w14:paraId="45BC62C8" w14:textId="0CAF6043" w:rsidR="007D3CFB" w:rsidRPr="00CC3FFF" w:rsidRDefault="007D3CFB"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Dep</w:t>
      </w:r>
      <w:r w:rsidR="00A8433D" w:rsidRPr="00CC3FFF">
        <w:rPr>
          <w:rFonts w:ascii="Times New Roman" w:hAnsi="Times New Roman" w:cs="Times New Roman"/>
          <w:bCs/>
          <w:iCs/>
          <w:sz w:val="20"/>
          <w:szCs w:val="18"/>
        </w:rPr>
        <w:t>artmen</w:t>
      </w:r>
      <w:r w:rsidRPr="00CC3FFF">
        <w:rPr>
          <w:rFonts w:ascii="Times New Roman" w:hAnsi="Times New Roman" w:cs="Times New Roman"/>
          <w:bCs/>
          <w:iCs/>
          <w:sz w:val="20"/>
          <w:szCs w:val="18"/>
        </w:rPr>
        <w:t>t of Laboratory Medicine, Institute of Biomedicine, Sahlgrenska academy, University of Gothenburg, Gothenburg, Sweden</w:t>
      </w:r>
    </w:p>
    <w:p w14:paraId="16501338"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364E1AC0" w14:textId="51126C1C" w:rsidR="007D3CFB" w:rsidRPr="00CC3FFF" w:rsidRDefault="007D3CFB"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Osteoarthritis (OA) is a degenerative joint disease with progressive cartilage loss and chronic inflammation. Current treatments are mainly symptomatic, highlighting the need for regenerative approaches. In previous studies, small extracellular vesicles (sEVs) from induced mesenchymal stromal cells (iMSCs) showed anti-inflammatory effects in vitro, supporting their potential as cell-free</w:t>
      </w:r>
      <w:r w:rsidR="00A8433D" w:rsidRPr="00CC3FFF">
        <w:rPr>
          <w:rFonts w:ascii="Times New Roman" w:hAnsi="Times New Roman" w:cs="Times New Roman"/>
          <w:bCs/>
          <w:iCs/>
          <w:sz w:val="20"/>
          <w:szCs w:val="18"/>
        </w:rPr>
        <w:t xml:space="preserve"> </w:t>
      </w:r>
      <w:r w:rsidRPr="00CC3FFF">
        <w:rPr>
          <w:rFonts w:ascii="Times New Roman" w:hAnsi="Times New Roman" w:cs="Times New Roman"/>
          <w:bCs/>
          <w:iCs/>
          <w:sz w:val="20"/>
          <w:szCs w:val="18"/>
        </w:rPr>
        <w:t>therapeutics. Building on this, we investigated sEVs from induced chondrocytes (iCHOs), hypothesizing that their chondrogenic origin enhances cartilage-specific and anti-inflammatory activity.</w:t>
      </w:r>
    </w:p>
    <w:p w14:paraId="58BCC899" w14:textId="06E895D4" w:rsidR="007D3CFB" w:rsidRPr="00CC3FFF" w:rsidRDefault="007D3CFB" w:rsidP="007D3CFB">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sEVs were isolated from conditioned media of induced chondrocytes in chemically defined, serum-free conditions using differential ultracentrifugation. Preparations were quantified using Nanoparticle</w:t>
      </w:r>
      <w:r w:rsidR="00A8433D" w:rsidRPr="00CC3FFF">
        <w:rPr>
          <w:rFonts w:ascii="Times New Roman" w:hAnsi="Times New Roman" w:cs="Times New Roman"/>
          <w:bCs/>
          <w:iCs/>
          <w:sz w:val="20"/>
          <w:szCs w:val="18"/>
        </w:rPr>
        <w:t xml:space="preserve"> </w:t>
      </w:r>
      <w:r w:rsidRPr="00CC3FFF">
        <w:rPr>
          <w:rFonts w:ascii="Times New Roman" w:hAnsi="Times New Roman" w:cs="Times New Roman"/>
          <w:bCs/>
          <w:iCs/>
          <w:sz w:val="20"/>
          <w:szCs w:val="18"/>
        </w:rPr>
        <w:t xml:space="preserve">Tracking Analysis to determine particle size and concentration, and bicinchoninic acid assay to estimate total protein content, providing complementary measures of vesicle abundance. Vesicle identity was confirmed by Western blot for CD63, CD81, flotillin and syntenin. Biological activity was evaluated in an in vitro OA model based on primary human chondrocytes stimulated with interleukin-1α, and modulation of pro-inflammatory mediators was assessed by </w:t>
      </w:r>
      <w:r w:rsidRPr="00CC3FFF">
        <w:rPr>
          <w:rFonts w:ascii="Times New Roman" w:hAnsi="Times New Roman" w:cs="Times New Roman"/>
          <w:bCs/>
          <w:iCs/>
          <w:sz w:val="20"/>
          <w:szCs w:val="18"/>
        </w:rPr>
        <w:lastRenderedPageBreak/>
        <w:t>quantitative gene expression analysis.</w:t>
      </w:r>
    </w:p>
    <w:p w14:paraId="0DBD6EEC" w14:textId="3ED26EDE" w:rsidR="007D3CFB" w:rsidRPr="00CC3FFF" w:rsidRDefault="007D3CFB" w:rsidP="007D3CFB">
      <w:pPr>
        <w:adjustRightInd w:val="0"/>
        <w:snapToGrid w:val="0"/>
        <w:spacing w:line="260" w:lineRule="atLeast"/>
        <w:rPr>
          <w:rFonts w:ascii="Times New Roman" w:hAnsi="Times New Roman" w:cs="Times New Roman"/>
          <w:bCs/>
          <w:iCs/>
          <w:cap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iCHO-derived sEVs displayed a size distribution of 50–150 nm and expressed canonical markers. Preliminary results indicate moderate but consistent anti-inflammatory activity in IL-1α-stimulated chondrocytes, with downregulation of IL-6, IL-8 and COX-2. These effects were more pronounced than those previously observed with iMSC-derived sEVs.</w:t>
      </w:r>
    </w:p>
    <w:p w14:paraId="129C5568" w14:textId="577606C2" w:rsidR="007D3CFB" w:rsidRPr="00CC3FFF" w:rsidRDefault="007D3CFB" w:rsidP="007D3CFB">
      <w:pPr>
        <w:adjustRightInd w:val="0"/>
        <w:snapToGrid w:val="0"/>
        <w:spacing w:line="260" w:lineRule="atLeast"/>
        <w:rPr>
          <w:rFonts w:ascii="Times New Roman" w:hAnsi="Times New Roman" w:cs="Times New Roman"/>
          <w:bCs/>
          <w:iCs/>
          <w:caps/>
          <w:sz w:val="20"/>
          <w:szCs w:val="18"/>
        </w:rPr>
      </w:pPr>
      <w:r w:rsidRPr="00CC3FFF">
        <w:rPr>
          <w:rFonts w:ascii="Times New Roman" w:hAnsi="Times New Roman" w:cs="Times New Roman"/>
          <w:bCs/>
          <w:iCs/>
          <w:caps/>
          <w:sz w:val="20"/>
          <w:szCs w:val="18"/>
        </w:rPr>
        <w:t xml:space="preserve">Conclusions: </w:t>
      </w:r>
      <w:r w:rsidRPr="00CC3FFF">
        <w:rPr>
          <w:rFonts w:ascii="Times New Roman" w:hAnsi="Times New Roman" w:cs="Times New Roman"/>
          <w:bCs/>
          <w:iCs/>
          <w:sz w:val="20"/>
          <w:szCs w:val="18"/>
        </w:rPr>
        <w:t>iCHO-sEVs demonstate significant anti-inflammatory effects in vitro, supporting their potential as cell-free, cartilage-targeted therapeutic agents. Their enhanced efficacy may reflect the closer phenotypic resemblance of iCHO to native articular chondrocytes and the absence of limitations associated with</w:t>
      </w:r>
      <w:r w:rsidRPr="00CC3FFF">
        <w:rPr>
          <w:rFonts w:ascii="Times New Roman" w:hAnsi="Times New Roman" w:cs="Times New Roman"/>
          <w:bCs/>
          <w:iCs/>
          <w:caps/>
          <w:sz w:val="20"/>
          <w:szCs w:val="18"/>
        </w:rPr>
        <w:t xml:space="preserve"> </w:t>
      </w:r>
      <w:r w:rsidRPr="00CC3FFF">
        <w:rPr>
          <w:rFonts w:ascii="Times New Roman" w:hAnsi="Times New Roman" w:cs="Times New Roman"/>
          <w:bCs/>
          <w:iCs/>
          <w:sz w:val="20"/>
          <w:szCs w:val="18"/>
        </w:rPr>
        <w:t>in vitro culture expansion. Collectively, these findings suggest that iCHO-derived sEVs carry a more cartilage-specific molecular cargo, enabling more precise modulation of inflammatory signalling pathways. Ongoing studies using 3D OA models aim to further validate and translate their biological activity, while parallel investigations address antioxidant properties and modulation of reactive oxygen species-driven responses.</w:t>
      </w:r>
    </w:p>
    <w:p w14:paraId="4F3B4393"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2F9C4428" w14:textId="0EE50B8F" w:rsidR="00C31F2C" w:rsidRPr="00CC3FFF" w:rsidRDefault="00506454" w:rsidP="00C31F2C">
      <w:pPr>
        <w:adjustRightInd w:val="0"/>
        <w:snapToGrid w:val="0"/>
        <w:spacing w:line="260" w:lineRule="atLeast"/>
        <w:rPr>
          <w:rFonts w:ascii="Times New Roman" w:hAnsi="Times New Roman" w:cs="Times New Roman"/>
          <w:b/>
          <w:bCs/>
          <w:iCs/>
          <w:caps/>
          <w:sz w:val="20"/>
          <w:szCs w:val="18"/>
        </w:rPr>
      </w:pPr>
      <w:r w:rsidRPr="00CC3FFF">
        <w:rPr>
          <w:rFonts w:ascii="Times New Roman" w:hAnsi="Times New Roman" w:cs="Times New Roman"/>
          <w:b/>
          <w:bCs/>
          <w:iCs/>
          <w:sz w:val="20"/>
          <w:szCs w:val="18"/>
        </w:rPr>
        <w:t>55</w:t>
      </w:r>
      <w:r w:rsidR="00C31F2C" w:rsidRPr="00CC3FFF">
        <w:rPr>
          <w:rFonts w:ascii="Times New Roman" w:hAnsi="Times New Roman" w:cs="Times New Roman"/>
          <w:b/>
          <w:bCs/>
          <w:iCs/>
          <w:sz w:val="20"/>
          <w:szCs w:val="18"/>
        </w:rPr>
        <w:t xml:space="preserve">. </w:t>
      </w:r>
      <w:r w:rsidRPr="00CC3FFF">
        <w:rPr>
          <w:rFonts w:ascii="Times New Roman" w:hAnsi="Times New Roman" w:cs="Times New Roman"/>
          <w:b/>
          <w:bCs/>
          <w:iCs/>
          <w:caps/>
          <w:sz w:val="20"/>
          <w:szCs w:val="18"/>
        </w:rPr>
        <w:t>Mesenchymal stem cells shape vascularization and mineralization in the osteosarcoma tumor microenvironment</w:t>
      </w:r>
    </w:p>
    <w:p w14:paraId="18EF7FA3" w14:textId="77777777" w:rsidR="00C31F2C" w:rsidRPr="00CC3FFF" w:rsidRDefault="00C31F2C" w:rsidP="00C31F2C">
      <w:pPr>
        <w:adjustRightInd w:val="0"/>
        <w:snapToGrid w:val="0"/>
        <w:spacing w:line="260" w:lineRule="atLeast"/>
        <w:rPr>
          <w:rFonts w:ascii="Times New Roman" w:hAnsi="Times New Roman" w:cs="Times New Roman"/>
          <w:bCs/>
          <w:iCs/>
          <w:caps/>
          <w:sz w:val="20"/>
          <w:szCs w:val="18"/>
        </w:rPr>
      </w:pPr>
    </w:p>
    <w:p w14:paraId="31BBF6F2" w14:textId="35C5F885" w:rsidR="00506454" w:rsidRPr="00CC3FFF" w:rsidRDefault="00506454" w:rsidP="00506454">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lang w:val="it-IT"/>
        </w:rPr>
        <w:t>F. Rossi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Pannella</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 Malgorzata Rydzyk</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M. Fratini</w:t>
      </w: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E. Longo</w:t>
      </w: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 C. Bellotti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 Rossi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A. N. Guerrieri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C. Cappadone</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L. Anconelli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V. Giusti</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M. Torsello</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S. Iotti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T. Ibrahim</w:t>
      </w: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 E. Malucelli</w:t>
      </w:r>
      <w:r w:rsidRPr="00CC3FFF">
        <w:rPr>
          <w:rFonts w:ascii="Times New Roman" w:hAnsi="Times New Roman" w:cs="Times New Roman"/>
          <w:bCs/>
          <w:iCs/>
          <w:sz w:val="20"/>
          <w:szCs w:val="18"/>
          <w:vertAlign w:val="superscript"/>
          <w:lang w:val="it-IT"/>
        </w:rPr>
        <w:t>1</w:t>
      </w:r>
      <w:r w:rsidRPr="00CC3FFF">
        <w:rPr>
          <w:rFonts w:ascii="Times New Roman" w:hAnsi="Times New Roman" w:cs="Times New Roman"/>
          <w:bCs/>
          <w:iCs/>
          <w:sz w:val="20"/>
          <w:szCs w:val="18"/>
          <w:lang w:val="it-IT"/>
        </w:rPr>
        <w:t>, E.  Lucarelli</w:t>
      </w:r>
      <w:r w:rsidRPr="00CC3FFF">
        <w:rPr>
          <w:rFonts w:ascii="Times New Roman" w:hAnsi="Times New Roman" w:cs="Times New Roman"/>
          <w:bCs/>
          <w:iCs/>
          <w:sz w:val="20"/>
          <w:szCs w:val="18"/>
          <w:vertAlign w:val="superscript"/>
          <w:lang w:val="it-IT"/>
        </w:rPr>
        <w:t>2</w:t>
      </w:r>
    </w:p>
    <w:p w14:paraId="06DBD299" w14:textId="77777777" w:rsidR="00A8433D" w:rsidRPr="00CC3FFF" w:rsidRDefault="00A8433D" w:rsidP="00506454">
      <w:pPr>
        <w:adjustRightInd w:val="0"/>
        <w:snapToGrid w:val="0"/>
        <w:spacing w:line="260" w:lineRule="atLeast"/>
        <w:rPr>
          <w:rFonts w:ascii="Times New Roman" w:hAnsi="Times New Roman" w:cs="Times New Roman"/>
          <w:bCs/>
          <w:iCs/>
          <w:sz w:val="20"/>
          <w:szCs w:val="18"/>
          <w:lang w:val="it-IT"/>
        </w:rPr>
      </w:pPr>
    </w:p>
    <w:p w14:paraId="18D8C851" w14:textId="7458197F" w:rsidR="00506454" w:rsidRPr="00CC3FFF" w:rsidRDefault="00506454" w:rsidP="00506454">
      <w:pPr>
        <w:adjustRightInd w:val="0"/>
        <w:snapToGrid w:val="0"/>
        <w:spacing w:line="260" w:lineRule="atLeast"/>
        <w:rPr>
          <w:rFonts w:ascii="Times New Roman" w:hAnsi="Times New Roman" w:cs="Times New Roman"/>
          <w:bCs/>
          <w:iCs/>
          <w:sz w:val="20"/>
          <w:szCs w:val="18"/>
        </w:rPr>
      </w:pPr>
      <w:r w:rsidRPr="00CC3FFF">
        <w:rPr>
          <w:rFonts w:ascii="Times New Roman" w:hAnsi="Times New Roman" w:cs="Times New Roman"/>
          <w:bCs/>
          <w:iCs/>
          <w:sz w:val="20"/>
          <w:szCs w:val="18"/>
          <w:vertAlign w:val="superscript"/>
        </w:rPr>
        <w:t>1</w:t>
      </w:r>
      <w:r w:rsidRPr="00CC3FFF">
        <w:rPr>
          <w:rFonts w:ascii="Times New Roman" w:hAnsi="Times New Roman" w:cs="Times New Roman"/>
          <w:bCs/>
          <w:iCs/>
          <w:sz w:val="20"/>
          <w:szCs w:val="18"/>
        </w:rPr>
        <w:t>Pharmacy and Biotechnology, University of Bologna, Bologna, Italy</w:t>
      </w:r>
    </w:p>
    <w:p w14:paraId="4F897CA7" w14:textId="77777777" w:rsidR="00506454" w:rsidRPr="00CC3FFF" w:rsidRDefault="00506454" w:rsidP="00506454">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2</w:t>
      </w:r>
      <w:r w:rsidRPr="00CC3FFF">
        <w:rPr>
          <w:rFonts w:ascii="Times New Roman" w:hAnsi="Times New Roman" w:cs="Times New Roman"/>
          <w:bCs/>
          <w:iCs/>
          <w:sz w:val="20"/>
          <w:szCs w:val="18"/>
          <w:lang w:val="it-IT"/>
        </w:rPr>
        <w:t>Osteoncology, Bone and Soft Tissue Sarcomas and Innovative Therapies Unit, IRCCS Istituto Ortopedico Rizzoli, Bologna, Italy</w:t>
      </w:r>
    </w:p>
    <w:p w14:paraId="687FF978" w14:textId="4411908F" w:rsidR="00506454" w:rsidRPr="00CC3FFF" w:rsidRDefault="00506454" w:rsidP="00506454">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3</w:t>
      </w:r>
      <w:r w:rsidRPr="00CC3FFF">
        <w:rPr>
          <w:rFonts w:ascii="Times New Roman" w:hAnsi="Times New Roman" w:cs="Times New Roman"/>
          <w:bCs/>
          <w:iCs/>
          <w:sz w:val="20"/>
          <w:szCs w:val="18"/>
          <w:lang w:val="it-IT"/>
        </w:rPr>
        <w:t xml:space="preserve">CNR-Nanotec (Roma unit) c/o </w:t>
      </w:r>
      <w:r w:rsidR="00AC5CDC">
        <w:rPr>
          <w:rFonts w:ascii="Times New Roman" w:hAnsi="Times New Roman" w:cs="Times New Roman"/>
          <w:bCs/>
          <w:iCs/>
          <w:sz w:val="20"/>
          <w:szCs w:val="18"/>
          <w:lang w:val="it-IT"/>
        </w:rPr>
        <w:t>Department</w:t>
      </w:r>
      <w:r w:rsidRPr="00CC3FFF">
        <w:rPr>
          <w:rFonts w:ascii="Times New Roman" w:hAnsi="Times New Roman" w:cs="Times New Roman"/>
          <w:bCs/>
          <w:iCs/>
          <w:sz w:val="20"/>
          <w:szCs w:val="18"/>
          <w:lang w:val="it-IT"/>
        </w:rPr>
        <w:t xml:space="preserve"> of Physics, La Sapienza University, Rome (Italy) &amp; IRCCS Fondazione Santa Lucia, Rome, Italy</w:t>
      </w:r>
    </w:p>
    <w:p w14:paraId="10925287" w14:textId="77777777" w:rsidR="00506454" w:rsidRPr="00CC3FFF" w:rsidRDefault="00506454" w:rsidP="00506454">
      <w:pPr>
        <w:adjustRightInd w:val="0"/>
        <w:snapToGrid w:val="0"/>
        <w:spacing w:line="260" w:lineRule="atLeast"/>
        <w:rPr>
          <w:rFonts w:ascii="Times New Roman" w:hAnsi="Times New Roman" w:cs="Times New Roman"/>
          <w:bCs/>
          <w:iCs/>
          <w:sz w:val="20"/>
          <w:szCs w:val="18"/>
          <w:lang w:val="it-IT"/>
        </w:rPr>
      </w:pPr>
      <w:r w:rsidRPr="00CC3FFF">
        <w:rPr>
          <w:rFonts w:ascii="Times New Roman" w:hAnsi="Times New Roman" w:cs="Times New Roman"/>
          <w:bCs/>
          <w:iCs/>
          <w:sz w:val="20"/>
          <w:szCs w:val="18"/>
          <w:vertAlign w:val="superscript"/>
          <w:lang w:val="it-IT"/>
        </w:rPr>
        <w:t>4</w:t>
      </w:r>
      <w:r w:rsidRPr="00CC3FFF">
        <w:rPr>
          <w:rFonts w:ascii="Times New Roman" w:hAnsi="Times New Roman" w:cs="Times New Roman"/>
          <w:bCs/>
          <w:iCs/>
          <w:sz w:val="20"/>
          <w:szCs w:val="18"/>
          <w:lang w:val="it-IT"/>
        </w:rPr>
        <w:t>Elettra-Sincrotrone Trieste S.C.p.A 34149, Basovizza, Trieste, Italy</w:t>
      </w:r>
    </w:p>
    <w:p w14:paraId="5EC4EABE" w14:textId="77777777" w:rsidR="00C31F2C" w:rsidRPr="00CC3FFF" w:rsidRDefault="00C31F2C" w:rsidP="00C31F2C">
      <w:pPr>
        <w:adjustRightInd w:val="0"/>
        <w:snapToGrid w:val="0"/>
        <w:spacing w:line="260" w:lineRule="atLeast"/>
        <w:rPr>
          <w:rFonts w:ascii="Times New Roman" w:hAnsi="Times New Roman" w:cs="Times New Roman"/>
          <w:bCs/>
          <w:iCs/>
          <w:sz w:val="20"/>
          <w:szCs w:val="18"/>
          <w:lang w:val="it-IT"/>
        </w:rPr>
      </w:pPr>
    </w:p>
    <w:p w14:paraId="3B61793D" w14:textId="36728AC3" w:rsidR="00506454" w:rsidRPr="00CC3FFF" w:rsidRDefault="00506454" w:rsidP="00506454">
      <w:pPr>
        <w:adjustRightInd w:val="0"/>
        <w:snapToGrid w:val="0"/>
        <w:spacing w:line="260" w:lineRule="atLeast"/>
        <w:rPr>
          <w:rFonts w:ascii="Times New Roman" w:hAnsi="Times New Roman" w:cs="Times New Roman"/>
          <w:bCs/>
          <w:iCs/>
          <w:caps/>
          <w:sz w:val="20"/>
          <w:szCs w:val="18"/>
        </w:rPr>
      </w:pPr>
      <w:r w:rsidRPr="00CC3FFF">
        <w:rPr>
          <w:rFonts w:ascii="Times New Roman" w:hAnsi="Times New Roman" w:cs="Times New Roman"/>
          <w:bCs/>
          <w:iCs/>
          <w:caps/>
          <w:sz w:val="20"/>
          <w:szCs w:val="18"/>
        </w:rPr>
        <w:t xml:space="preserve">Objective: </w:t>
      </w:r>
      <w:r w:rsidRPr="00CC3FFF">
        <w:rPr>
          <w:rFonts w:ascii="Times New Roman" w:hAnsi="Times New Roman" w:cs="Times New Roman"/>
          <w:bCs/>
          <w:iCs/>
          <w:sz w:val="20"/>
          <w:szCs w:val="18"/>
        </w:rPr>
        <w:t>The tumor microenvironment (TME) is a complex and dynamic ecosystem. In osteosarcoma (OS) it is composed of cellular and acellular components, including mesenchymal stem cells (MSCs), vasculature, extracellular matrix, and mineral components such as hydroxyapatite. Rather than acting as passive bystanders, MSCs actively influence tumor growth, and therapeutic response. To investigate the contribution of MSCs to the OS TME, we employed a three-dimensional multicellular model combining OS cells and MSCs implanted onto the chick chorioallantoic membrane (CAM). Using this approach, we evaluated how MSCs influence angiogenesis and mineral niche formation within the OS TME. A deeper understanding of MSC role within the TME is therefore essential for elucidating OS biology and identifying more effective, targeted, and durable treatments.</w:t>
      </w:r>
    </w:p>
    <w:p w14:paraId="12D49617" w14:textId="23E790CA" w:rsidR="00506454" w:rsidRPr="00CC3FFF" w:rsidRDefault="00506454" w:rsidP="00506454">
      <w:pPr>
        <w:adjustRightInd w:val="0"/>
        <w:snapToGrid w:val="0"/>
        <w:spacing w:line="260" w:lineRule="atLeast"/>
        <w:rPr>
          <w:rFonts w:ascii="Times New Roman" w:hAnsi="Times New Roman" w:cs="Times New Roman"/>
          <w:bCs/>
          <w:iCs/>
          <w:caps/>
          <w:sz w:val="20"/>
          <w:szCs w:val="18"/>
        </w:rPr>
      </w:pPr>
      <w:r w:rsidRPr="00CC3FFF">
        <w:rPr>
          <w:rFonts w:ascii="Times New Roman" w:hAnsi="Times New Roman" w:cs="Times New Roman"/>
          <w:bCs/>
          <w:iCs/>
          <w:caps/>
          <w:sz w:val="20"/>
          <w:szCs w:val="18"/>
        </w:rPr>
        <w:t xml:space="preserve">Materials and Methods: </w:t>
      </w:r>
      <w:r w:rsidRPr="00CC3FFF">
        <w:rPr>
          <w:rFonts w:ascii="Times New Roman" w:hAnsi="Times New Roman" w:cs="Times New Roman"/>
          <w:bCs/>
          <w:iCs/>
          <w:sz w:val="20"/>
          <w:szCs w:val="18"/>
        </w:rPr>
        <w:t xml:space="preserve">Multicellular co-coltures were generated by assembly of the OS cell lines SaOS-2 alone or in combination with MSCs. Cells were implanted onto the CAM on day 8 of embryonal development (ED). Tumor tissues were harvested on ED 14, formalin-fixed, and paraffin-embedded. Synchrotron-radiation phase-contrast micro-computed tomography (SRµCT) was performed on the entire sample volume at a </w:t>
      </w:r>
      <w:proofErr w:type="gramStart"/>
      <w:r w:rsidRPr="00CC3FFF">
        <w:rPr>
          <w:rFonts w:ascii="Times New Roman" w:hAnsi="Times New Roman" w:cs="Times New Roman"/>
          <w:bCs/>
          <w:iCs/>
          <w:sz w:val="20"/>
          <w:szCs w:val="18"/>
        </w:rPr>
        <w:t>pixels</w:t>
      </w:r>
      <w:proofErr w:type="gramEnd"/>
      <w:r w:rsidRPr="00CC3FFF">
        <w:rPr>
          <w:rFonts w:ascii="Times New Roman" w:hAnsi="Times New Roman" w:cs="Times New Roman"/>
          <w:bCs/>
          <w:iCs/>
          <w:sz w:val="20"/>
          <w:szCs w:val="18"/>
        </w:rPr>
        <w:t xml:space="preserve"> size of 0.9x0.9 µm</w:t>
      </w:r>
      <w:r w:rsidRPr="005C0B02">
        <w:rPr>
          <w:rFonts w:ascii="Times New Roman" w:hAnsi="Times New Roman" w:cs="Times New Roman"/>
          <w:bCs/>
          <w:iCs/>
          <w:sz w:val="20"/>
          <w:szCs w:val="18"/>
          <w:vertAlign w:val="superscript"/>
        </w:rPr>
        <w:t>2</w:t>
      </w:r>
      <w:r w:rsidRPr="00CC3FFF">
        <w:rPr>
          <w:rFonts w:ascii="Times New Roman" w:hAnsi="Times New Roman" w:cs="Times New Roman"/>
          <w:bCs/>
          <w:iCs/>
          <w:sz w:val="20"/>
          <w:szCs w:val="18"/>
        </w:rPr>
        <w:t>, followed by histological analyses to validate tissue architecture and mineralization.</w:t>
      </w:r>
    </w:p>
    <w:p w14:paraId="7A443EA7" w14:textId="4EABA175" w:rsidR="00506454" w:rsidRPr="00CC3FFF" w:rsidRDefault="00506454" w:rsidP="00506454">
      <w:pPr>
        <w:adjustRightInd w:val="0"/>
        <w:snapToGrid w:val="0"/>
        <w:spacing w:line="260" w:lineRule="atLeast"/>
        <w:rPr>
          <w:rFonts w:ascii="Times New Roman" w:hAnsi="Times New Roman" w:cs="Times New Roman"/>
          <w:bCs/>
          <w:iCs/>
          <w:caps/>
          <w:sz w:val="20"/>
          <w:szCs w:val="18"/>
        </w:rPr>
      </w:pPr>
      <w:r w:rsidRPr="00CC3FFF">
        <w:rPr>
          <w:rFonts w:ascii="Times New Roman" w:hAnsi="Times New Roman" w:cs="Times New Roman"/>
          <w:bCs/>
          <w:iCs/>
          <w:caps/>
          <w:sz w:val="20"/>
          <w:szCs w:val="18"/>
        </w:rPr>
        <w:t xml:space="preserve">Results: </w:t>
      </w:r>
      <w:r w:rsidRPr="00CC3FFF">
        <w:rPr>
          <w:rFonts w:ascii="Times New Roman" w:hAnsi="Times New Roman" w:cs="Times New Roman"/>
          <w:bCs/>
          <w:iCs/>
          <w:sz w:val="20"/>
          <w:szCs w:val="18"/>
        </w:rPr>
        <w:t>SaOS-2 cells efficiently infiltrated the vascularized mesodermal layer, resulting in robust host-derived vascularization of the tumor tissue. SRµCT enabled the three-dimensional visualization of tumor organization and mineral distribution at submicron resolution. Tomographic data were correlated with histological analyses, validating mineralized regions and tissue architecture at the cellular level. Tumors generated from SaOS-2 cells alone showed limited and spatially disorganized calcium deposition. In contrast, tumors formed by SaOS-2 cells co-cultured with MSCs exhibited structured mineralized tissue, which was readily detected by SRµCT and confirmed by Alizarin Red histological staining.</w:t>
      </w:r>
    </w:p>
    <w:p w14:paraId="3F1231BF" w14:textId="09D39B10" w:rsidR="00506454" w:rsidRPr="00CC3FFF" w:rsidRDefault="00506454" w:rsidP="00506454">
      <w:pPr>
        <w:adjustRightInd w:val="0"/>
        <w:snapToGrid w:val="0"/>
        <w:spacing w:line="260" w:lineRule="atLeast"/>
        <w:rPr>
          <w:rFonts w:ascii="Times New Roman" w:hAnsi="Times New Roman" w:cs="Times New Roman"/>
          <w:bCs/>
          <w:iCs/>
          <w:caps/>
          <w:sz w:val="20"/>
          <w:szCs w:val="18"/>
        </w:rPr>
      </w:pPr>
      <w:r w:rsidRPr="00CC3FFF">
        <w:rPr>
          <w:rFonts w:ascii="Times New Roman" w:hAnsi="Times New Roman" w:cs="Times New Roman"/>
          <w:bCs/>
          <w:iCs/>
          <w:caps/>
          <w:sz w:val="20"/>
          <w:szCs w:val="18"/>
        </w:rPr>
        <w:t>Conclusions:</w:t>
      </w:r>
      <w:r w:rsidR="00A8433D" w:rsidRPr="00CC3FFF">
        <w:rPr>
          <w:rFonts w:ascii="Times New Roman" w:hAnsi="Times New Roman" w:cs="Times New Roman"/>
          <w:bCs/>
          <w:iCs/>
          <w:caps/>
          <w:sz w:val="20"/>
          <w:szCs w:val="18"/>
        </w:rPr>
        <w:t xml:space="preserve"> </w:t>
      </w:r>
      <w:r w:rsidRPr="00CC3FFF">
        <w:rPr>
          <w:rFonts w:ascii="Times New Roman" w:hAnsi="Times New Roman" w:cs="Times New Roman"/>
          <w:bCs/>
          <w:iCs/>
          <w:sz w:val="20"/>
          <w:szCs w:val="18"/>
        </w:rPr>
        <w:t xml:space="preserve">These findings highlight the critical role of MSCs in shaping the OS tumor microenvironment, particularly with respect to mineralization and vascularization. MSC-containing 3D CAM models represent a powerful platform for studying stromal–tumor interactions under in vivo–like </w:t>
      </w:r>
      <w:r w:rsidRPr="00CC3FFF">
        <w:rPr>
          <w:rFonts w:ascii="Times New Roman" w:hAnsi="Times New Roman" w:cs="Times New Roman"/>
          <w:bCs/>
          <w:iCs/>
          <w:sz w:val="20"/>
          <w:szCs w:val="18"/>
        </w:rPr>
        <w:lastRenderedPageBreak/>
        <w:t>conditions and may support the development of more targeted therapeutic strategies for OS.</w:t>
      </w:r>
    </w:p>
    <w:p w14:paraId="15F7CBB0" w14:textId="77777777" w:rsidR="00C31F2C" w:rsidRPr="00CC3FFF" w:rsidRDefault="00C31F2C" w:rsidP="00C31F2C">
      <w:pPr>
        <w:adjustRightInd w:val="0"/>
        <w:snapToGrid w:val="0"/>
        <w:spacing w:line="260" w:lineRule="atLeast"/>
        <w:rPr>
          <w:rFonts w:ascii="Times New Roman" w:hAnsi="Times New Roman" w:cs="Times New Roman"/>
          <w:bCs/>
          <w:iCs/>
          <w:sz w:val="20"/>
          <w:szCs w:val="18"/>
        </w:rPr>
      </w:pPr>
    </w:p>
    <w:p w14:paraId="5E4DD88E" w14:textId="5A2E0232" w:rsidR="00C31F2C" w:rsidRPr="00CC3FFF" w:rsidRDefault="00506454" w:rsidP="00C31F2C">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56</w:t>
      </w:r>
      <w:r w:rsidR="00C31F2C" w:rsidRPr="00CC3FFF">
        <w:rPr>
          <w:rFonts w:ascii="Times New Roman" w:hAnsi="Times New Roman" w:cs="Times New Roman"/>
          <w:b/>
          <w:bCs/>
          <w:iCs/>
          <w:sz w:val="20"/>
          <w:szCs w:val="20"/>
        </w:rPr>
        <w:t xml:space="preserve">. </w:t>
      </w:r>
      <w:r w:rsidRPr="00CC3FFF">
        <w:rPr>
          <w:rFonts w:ascii="Times New Roman" w:hAnsi="Times New Roman" w:cs="Times New Roman"/>
          <w:b/>
          <w:bCs/>
          <w:iCs/>
          <w:caps/>
          <w:sz w:val="20"/>
          <w:szCs w:val="20"/>
        </w:rPr>
        <w:t>Rejuvenation of amniotic epithelial cells by epigenetic and antioxidant modulation</w:t>
      </w:r>
    </w:p>
    <w:p w14:paraId="6B79B393" w14:textId="77777777" w:rsidR="00C31F2C" w:rsidRPr="00CC3FFF" w:rsidRDefault="00C31F2C" w:rsidP="00C31F2C">
      <w:pPr>
        <w:adjustRightInd w:val="0"/>
        <w:snapToGrid w:val="0"/>
        <w:spacing w:line="260" w:lineRule="atLeast"/>
        <w:rPr>
          <w:rFonts w:ascii="Times New Roman" w:hAnsi="Times New Roman" w:cs="Times New Roman"/>
          <w:bCs/>
          <w:iCs/>
          <w:caps/>
          <w:sz w:val="20"/>
          <w:szCs w:val="20"/>
        </w:rPr>
      </w:pPr>
    </w:p>
    <w:p w14:paraId="39F3DAB7" w14:textId="09A38EEC" w:rsidR="00506454" w:rsidRPr="00CC3FFF" w:rsidRDefault="00506454" w:rsidP="0050645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A. Sodomaco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Paris</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Rambaldi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P. Marrazzo</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A. Ognisanti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R. Costa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P. Lombardi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A. Cappellini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Simonazzi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S. Ratti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L. Manzoli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Alviano</w:t>
      </w:r>
      <w:r w:rsidRPr="00CC3FFF">
        <w:rPr>
          <w:rFonts w:ascii="Times New Roman" w:hAnsi="Times New Roman" w:cs="Times New Roman"/>
          <w:bCs/>
          <w:iCs/>
          <w:sz w:val="20"/>
          <w:szCs w:val="20"/>
          <w:vertAlign w:val="superscript"/>
          <w:lang w:val="it-IT"/>
        </w:rPr>
        <w:t>1</w:t>
      </w:r>
    </w:p>
    <w:p w14:paraId="6DE4D85F" w14:textId="77777777" w:rsidR="00C31F2C" w:rsidRPr="00CC3FFF" w:rsidRDefault="00C31F2C" w:rsidP="00C31F2C">
      <w:pPr>
        <w:adjustRightInd w:val="0"/>
        <w:snapToGrid w:val="0"/>
        <w:spacing w:line="260" w:lineRule="atLeast"/>
        <w:rPr>
          <w:rFonts w:ascii="Times New Roman" w:hAnsi="Times New Roman" w:cs="Times New Roman"/>
          <w:bCs/>
          <w:iCs/>
          <w:sz w:val="20"/>
          <w:szCs w:val="20"/>
          <w:lang w:val="it-IT"/>
        </w:rPr>
      </w:pPr>
    </w:p>
    <w:p w14:paraId="0EA2D92A" w14:textId="64F860ED" w:rsidR="00506454" w:rsidRPr="00CC3FFF" w:rsidRDefault="00506454" w:rsidP="0050645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xml:space="preserve">Cellular Signalling Laboratory, Anatomy Center,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Biomedical Sciences (DIBINEM), University of Bologna, Bologna, Italy</w:t>
      </w:r>
    </w:p>
    <w:p w14:paraId="1871EC63" w14:textId="716DDB18" w:rsidR="00506454" w:rsidRPr="00CC3FFF" w:rsidRDefault="00506454" w:rsidP="0050645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Biomolecular Sciences (DISB), University of Urbino, Urbino, Italy</w:t>
      </w:r>
    </w:p>
    <w:p w14:paraId="65865A6B" w14:textId="7630150C" w:rsidR="00506454" w:rsidRPr="00CC3FFF" w:rsidRDefault="00506454" w:rsidP="00506454">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xml:space="preserve">Obstetrics Unit, </w:t>
      </w:r>
      <w:r w:rsidR="00AC5CDC">
        <w:rPr>
          <w:rFonts w:ascii="Times New Roman" w:hAnsi="Times New Roman" w:cs="Times New Roman"/>
          <w:bCs/>
          <w:iCs/>
          <w:sz w:val="20"/>
          <w:szCs w:val="20"/>
          <w:lang w:val="it-IT"/>
        </w:rPr>
        <w:t>Department</w:t>
      </w:r>
      <w:r w:rsidRPr="00CC3FFF">
        <w:rPr>
          <w:rFonts w:ascii="Times New Roman" w:hAnsi="Times New Roman" w:cs="Times New Roman"/>
          <w:bCs/>
          <w:iCs/>
          <w:sz w:val="20"/>
          <w:szCs w:val="20"/>
          <w:lang w:val="it-IT"/>
        </w:rPr>
        <w:t xml:space="preserve"> of Obstetrics and Gynecology, IRCCS Azienda Ospedaliero Universitaria Sant’Orsola, Bologna, Italy</w:t>
      </w:r>
    </w:p>
    <w:p w14:paraId="6E47AD82" w14:textId="77777777" w:rsidR="00506454" w:rsidRPr="00CC3FFF" w:rsidRDefault="00506454" w:rsidP="0050645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University of Bologna, Bologna, Italy</w:t>
      </w:r>
    </w:p>
    <w:p w14:paraId="29CAAFC7" w14:textId="77777777"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55EB190B" w14:textId="6F230B85" w:rsidR="00506454" w:rsidRPr="00CC3FFF" w:rsidRDefault="00506454" w:rsidP="0050645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Human amniotic epithelial cells (hAECs) are perinatal stem cells obtained from the innermost layer of the term placenta. They have recently gained attention in regenerative medicine due to their numerous advantages including minimal ethical concerns, non-tumorigenic properties and low immunogenicity making them safer and more suitable for clinical applications than embryonic stem cells and induced pluripotent stem cells. However, a major limitation for their clinical translation is the rapid decline in viability and proliferative potential after a few passages in culture. For this reason, the present study aims to evaluate the rejuvenating effect of epigenetic and antioxidant compounds.</w:t>
      </w:r>
    </w:p>
    <w:p w14:paraId="16053B88" w14:textId="77777777" w:rsidR="005C0B02" w:rsidRDefault="00506454" w:rsidP="0050645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hAECs have been isolated from term placenta and frozen to induce further stress. After thawing, cells were seeded at the second passage and treated with combinations of the epigenetic modulator valproic acid and the antioxidants L-carnitine, N-acetylcysteine and 2-Phospho-L-Ascorbic acid. Based on</w:t>
      </w:r>
      <w:r w:rsidR="005C0B02">
        <w:rPr>
          <w:rFonts w:ascii="Times New Roman" w:hAnsi="Times New Roman" w:cs="Times New Roman"/>
          <w:bCs/>
          <w:iCs/>
          <w:sz w:val="20"/>
          <w:szCs w:val="20"/>
        </w:rPr>
        <w:t xml:space="preserve"> </w:t>
      </w:r>
      <w:r w:rsidRPr="00CC3FFF">
        <w:rPr>
          <w:rFonts w:ascii="Times New Roman" w:hAnsi="Times New Roman" w:cs="Times New Roman"/>
          <w:bCs/>
          <w:iCs/>
          <w:sz w:val="20"/>
          <w:szCs w:val="20"/>
        </w:rPr>
        <w:t>the analysis of single doses and paired compound combinations, three different combinations were identified, referred to as doses A, B, and C. Proliferation rate, metabolic activity, oxidative stress, senescence, apoptosis and expression of pluripotent markers were evaluated after a 72 hours treatment.</w:t>
      </w:r>
    </w:p>
    <w:p w14:paraId="197DA5A5" w14:textId="534B97A3" w:rsidR="00506454" w:rsidRPr="00CC3FFF" w:rsidRDefault="00506454" w:rsidP="00506454">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None of the three formulations exhibited cytotoxic effects on hAECs. Notably, combination C demonstrated the most pronounced biological effects, enhancing cellular responsiveness to oxidative stimuli and significantly increasing the expression of pluripotency-associated markers across all donors. Apoptosis and necrosis levels remained largely unchanged, showing with minor donor-dependent variability. Furthermore, combination C also reduced the senescence rate, a hallmark of hAEC cultures at passage 2.</w:t>
      </w:r>
    </w:p>
    <w:p w14:paraId="69188C7F" w14:textId="23B34301" w:rsidR="00506454" w:rsidRPr="00CC3FFF" w:rsidRDefault="00506454" w:rsidP="00506454">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 combined use of epigenetic modulation and antioxidant supplementation represents a promising strategy to improve the functional stability and regenerative potential of hAECs in vitro. These findings warrant further investigation of this rejuvenation approach to enhance differentiation competence. Moreover, testing the early incorporation of these compounds during cell isolation and expansion may extend the clinical applicability of perinatal epithelial stem cells.</w:t>
      </w:r>
    </w:p>
    <w:p w14:paraId="2F1E34E3" w14:textId="77777777" w:rsidR="00506454" w:rsidRPr="00CC3FFF" w:rsidRDefault="00506454" w:rsidP="00506454">
      <w:pPr>
        <w:adjustRightInd w:val="0"/>
        <w:snapToGrid w:val="0"/>
        <w:spacing w:line="260" w:lineRule="atLeast"/>
        <w:rPr>
          <w:rFonts w:ascii="Times New Roman" w:hAnsi="Times New Roman" w:cs="Times New Roman"/>
          <w:bCs/>
          <w:iCs/>
          <w:caps/>
          <w:sz w:val="20"/>
          <w:szCs w:val="20"/>
        </w:rPr>
      </w:pPr>
    </w:p>
    <w:p w14:paraId="02C69A0C" w14:textId="7E157A25" w:rsidR="00C31F2C" w:rsidRPr="00CC3FFF" w:rsidRDefault="006408CE" w:rsidP="00C31F2C">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57</w:t>
      </w:r>
      <w:r w:rsidR="00C31F2C" w:rsidRPr="00CC3FFF">
        <w:rPr>
          <w:rFonts w:ascii="Times New Roman" w:hAnsi="Times New Roman" w:cs="Times New Roman"/>
          <w:b/>
          <w:bCs/>
          <w:iCs/>
          <w:sz w:val="20"/>
          <w:szCs w:val="20"/>
        </w:rPr>
        <w:t xml:space="preserve">. </w:t>
      </w:r>
      <w:r w:rsidRPr="00CC3FFF">
        <w:rPr>
          <w:rFonts w:ascii="Times New Roman" w:hAnsi="Times New Roman" w:cs="Times New Roman"/>
          <w:b/>
          <w:bCs/>
          <w:iCs/>
          <w:caps/>
          <w:sz w:val="20"/>
          <w:szCs w:val="20"/>
        </w:rPr>
        <w:t>Pro-differentiation conditions reduce pathogenic features of lung cancer cells in vitro</w:t>
      </w:r>
    </w:p>
    <w:p w14:paraId="277E2432" w14:textId="77777777" w:rsidR="006408CE" w:rsidRPr="00CC3FFF" w:rsidRDefault="006408CE" w:rsidP="00C31F2C">
      <w:pPr>
        <w:adjustRightInd w:val="0"/>
        <w:snapToGrid w:val="0"/>
        <w:spacing w:line="260" w:lineRule="atLeast"/>
        <w:rPr>
          <w:rFonts w:ascii="Times New Roman" w:hAnsi="Times New Roman" w:cs="Times New Roman"/>
          <w:bCs/>
          <w:iCs/>
          <w:sz w:val="20"/>
          <w:szCs w:val="20"/>
        </w:rPr>
      </w:pPr>
    </w:p>
    <w:p w14:paraId="0D2368EA" w14:textId="5BE51263" w:rsidR="006408CE" w:rsidRPr="00CC3FFF" w:rsidRDefault="006408CE" w:rsidP="006408C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A. Grossi</w:t>
      </w:r>
      <w:r w:rsidR="00A8433D"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 V. Sottile</w:t>
      </w:r>
      <w:r w:rsidR="00A8433D" w:rsidRPr="00CC3FFF">
        <w:rPr>
          <w:rFonts w:ascii="Times New Roman" w:hAnsi="Times New Roman" w:cs="Times New Roman"/>
          <w:bCs/>
          <w:iCs/>
          <w:sz w:val="20"/>
          <w:szCs w:val="20"/>
          <w:vertAlign w:val="superscript"/>
        </w:rPr>
        <w:t>1</w:t>
      </w:r>
    </w:p>
    <w:p w14:paraId="4A4DAC05" w14:textId="77777777"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57F39EC3" w14:textId="047AE96D" w:rsidR="006408CE" w:rsidRPr="00CC3FFF" w:rsidRDefault="00A8433D" w:rsidP="006408CE">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006408CE" w:rsidRPr="00CC3FFF">
        <w:rPr>
          <w:rFonts w:ascii="Times New Roman" w:hAnsi="Times New Roman" w:cs="Times New Roman"/>
          <w:bCs/>
          <w:iCs/>
          <w:sz w:val="20"/>
          <w:szCs w:val="20"/>
        </w:rPr>
        <w:t>Dep</w:t>
      </w:r>
      <w:r w:rsidRPr="00CC3FFF">
        <w:rPr>
          <w:rFonts w:ascii="Times New Roman" w:hAnsi="Times New Roman" w:cs="Times New Roman"/>
          <w:bCs/>
          <w:iCs/>
          <w:sz w:val="20"/>
          <w:szCs w:val="20"/>
        </w:rPr>
        <w:t>artmen</w:t>
      </w:r>
      <w:r w:rsidR="006408CE" w:rsidRPr="00CC3FFF">
        <w:rPr>
          <w:rFonts w:ascii="Times New Roman" w:hAnsi="Times New Roman" w:cs="Times New Roman"/>
          <w:bCs/>
          <w:iCs/>
          <w:sz w:val="20"/>
          <w:szCs w:val="20"/>
        </w:rPr>
        <w:t>t of Molecular Medicine, University of Pavia, Pavia, Italy</w:t>
      </w:r>
    </w:p>
    <w:p w14:paraId="59BDD1AD" w14:textId="77777777"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59215D1E" w14:textId="50798950" w:rsidR="006408CE" w:rsidRPr="00CC3FFF" w:rsidRDefault="006408CE" w:rsidP="006408CE">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 xml:space="preserve">Among strategies investigated to reduce the aggressiveness, chemoresistance and metastatic potential of tumour cells, approaches based on differentiation have shown promising results in the case of leukaemia and in some other cancer models, offering a possible route to enhancing current anti-cancer therapies. Here, non-small cell lung cancer (NSCLC) cells were treated with pro-differentiation medium </w:t>
      </w:r>
      <w:r w:rsidRPr="00CC3FFF">
        <w:rPr>
          <w:rFonts w:ascii="Times New Roman" w:hAnsi="Times New Roman" w:cs="Times New Roman"/>
          <w:bCs/>
          <w:iCs/>
          <w:sz w:val="20"/>
          <w:szCs w:val="20"/>
        </w:rPr>
        <w:lastRenderedPageBreak/>
        <w:t>to measure the effect on pathogenic parameters.</w:t>
      </w:r>
    </w:p>
    <w:p w14:paraId="0255CD5D" w14:textId="41D1173B" w:rsidR="006408CE" w:rsidRPr="00CC3FFF" w:rsidRDefault="006408CE" w:rsidP="006408CE">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The human NSCLC line A549 was exposed to a serum-containing medium supplemented with pro-differentiation factors (Differentiation Medium, ‘DM’), and effects on the cells’ proliferation, migration and adhesion properties were assessed in vitro, alongside cancer stem cell marker expression analysed after treatment in 2D or 3D culture conditions.</w:t>
      </w:r>
    </w:p>
    <w:p w14:paraId="08904950" w14:textId="4AA46D63" w:rsidR="006408CE" w:rsidRPr="00CC3FFF" w:rsidRDefault="006408CE" w:rsidP="006408CE">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NSCLC cells (A549) treated with DM exhibited notable morphological changes, with significant increase in cellular footprint and intracellular vesicle accumulation. These phenotypic alterations coincided with significant inhibition of cell proliferation and migration, whereas cell adhesion properties increased, as did alkaline phosphatase activity. DM treatment also caused a significant reduction in clonogenic ability, in anchorage-independent colony formation and spheroid growth, alongside a reduced expression of stemness markers Sox2, Nanog, CD44 and ABCG2, and a decrease in ALDH activity and aquaporin function.</w:t>
      </w:r>
    </w:p>
    <w:p w14:paraId="5176772D" w14:textId="4A65A136" w:rsidR="006408CE" w:rsidRPr="00CC3FFF" w:rsidRDefault="006408CE" w:rsidP="006408CE">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These observations indicate a significant decrease in NSCLC cells’ pathogenic features after DM exposure, suggesting that pro-differentiation treatment may represent a valuable option for further preclinical testing.</w:t>
      </w:r>
    </w:p>
    <w:p w14:paraId="5B522428" w14:textId="77777777"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733DB15A" w14:textId="0631B81C" w:rsidR="00C31F2C" w:rsidRPr="00CC3FFF" w:rsidRDefault="00F92592" w:rsidP="00C31F2C">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
          <w:bCs/>
          <w:iCs/>
          <w:sz w:val="20"/>
          <w:szCs w:val="20"/>
        </w:rPr>
        <w:t>58</w:t>
      </w:r>
      <w:r w:rsidR="00C31F2C" w:rsidRPr="00CC3FFF">
        <w:rPr>
          <w:rFonts w:ascii="Times New Roman" w:hAnsi="Times New Roman" w:cs="Times New Roman"/>
          <w:b/>
          <w:bCs/>
          <w:iCs/>
          <w:sz w:val="20"/>
          <w:szCs w:val="20"/>
        </w:rPr>
        <w:t xml:space="preserve">. </w:t>
      </w:r>
      <w:r w:rsidRPr="00CC3FFF">
        <w:rPr>
          <w:rFonts w:ascii="Times New Roman" w:hAnsi="Times New Roman" w:cs="Times New Roman"/>
          <w:b/>
          <w:bCs/>
          <w:iCs/>
          <w:caps/>
          <w:sz w:val="20"/>
          <w:szCs w:val="20"/>
        </w:rPr>
        <w:t>MatRad-OIDS: an open-source tool for segmenting microscopy 3D images and extracting IBSI-compliant radiomic features.</w:t>
      </w:r>
    </w:p>
    <w:p w14:paraId="3C70ABAA" w14:textId="77777777" w:rsidR="0085418C" w:rsidRPr="00CC3FFF" w:rsidRDefault="0085418C" w:rsidP="00C31F2C">
      <w:pPr>
        <w:adjustRightInd w:val="0"/>
        <w:snapToGrid w:val="0"/>
        <w:spacing w:line="260" w:lineRule="atLeast"/>
        <w:rPr>
          <w:rFonts w:ascii="Times New Roman" w:hAnsi="Times New Roman" w:cs="Times New Roman"/>
          <w:bCs/>
          <w:iCs/>
          <w:sz w:val="20"/>
          <w:szCs w:val="20"/>
        </w:rPr>
      </w:pPr>
    </w:p>
    <w:p w14:paraId="38E3F704" w14:textId="7B55C545" w:rsidR="00F92592" w:rsidRPr="00CC3FFF" w:rsidRDefault="00F92592" w:rsidP="00F92592">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M. Stellato</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G. Pasini</w:t>
      </w:r>
      <w:r w:rsidRPr="00CC3FFF">
        <w:rPr>
          <w:rFonts w:ascii="Times New Roman" w:hAnsi="Times New Roman" w:cs="Times New Roman"/>
          <w:bCs/>
          <w:iCs/>
          <w:sz w:val="20"/>
          <w:szCs w:val="20"/>
          <w:vertAlign w:val="superscript"/>
          <w:lang w:val="it-IT"/>
        </w:rPr>
        <w:t>2,3</w:t>
      </w:r>
      <w:r w:rsidRPr="00CC3FFF">
        <w:rPr>
          <w:rFonts w:ascii="Times New Roman" w:hAnsi="Times New Roman" w:cs="Times New Roman"/>
          <w:bCs/>
          <w:iCs/>
          <w:sz w:val="20"/>
          <w:szCs w:val="20"/>
          <w:lang w:val="it-IT"/>
        </w:rPr>
        <w:t>, E. Missori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D. Remondini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M. Calvaruso</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J. Pyun</w:t>
      </w:r>
      <w:r w:rsidRPr="00CC3FFF">
        <w:rPr>
          <w:rFonts w:ascii="Times New Roman" w:hAnsi="Times New Roman" w:cs="Times New Roman"/>
          <w:bCs/>
          <w:iCs/>
          <w:sz w:val="20"/>
          <w:szCs w:val="20"/>
          <w:vertAlign w:val="superscript"/>
          <w:lang w:val="it-IT"/>
        </w:rPr>
        <w:t>4</w:t>
      </w:r>
      <w:r w:rsidRPr="00CC3FFF">
        <w:rPr>
          <w:rFonts w:ascii="Times New Roman" w:hAnsi="Times New Roman" w:cs="Times New Roman"/>
          <w:bCs/>
          <w:iCs/>
          <w:sz w:val="20"/>
          <w:szCs w:val="20"/>
          <w:lang w:val="it-IT"/>
        </w:rPr>
        <w:t>, N. Normanno</w:t>
      </w: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 G. Castellani</w:t>
      </w:r>
      <w:r w:rsidRPr="00CC3FFF">
        <w:rPr>
          <w:rFonts w:ascii="Times New Roman" w:hAnsi="Times New Roman" w:cs="Times New Roman"/>
          <w:bCs/>
          <w:iCs/>
          <w:sz w:val="20"/>
          <w:szCs w:val="20"/>
          <w:vertAlign w:val="superscript"/>
          <w:lang w:val="it-IT"/>
        </w:rPr>
        <w:t>6,7</w:t>
      </w:r>
      <w:r w:rsidRPr="00CC3FFF">
        <w:rPr>
          <w:rFonts w:ascii="Times New Roman" w:hAnsi="Times New Roman" w:cs="Times New Roman"/>
          <w:bCs/>
          <w:iCs/>
          <w:sz w:val="20"/>
          <w:szCs w:val="20"/>
          <w:lang w:val="it-IT"/>
        </w:rPr>
        <w:t>, F. Piccinini</w:t>
      </w:r>
      <w:r w:rsidRPr="00CC3FFF">
        <w:rPr>
          <w:rFonts w:ascii="Times New Roman" w:hAnsi="Times New Roman" w:cs="Times New Roman"/>
          <w:bCs/>
          <w:iCs/>
          <w:sz w:val="20"/>
          <w:szCs w:val="20"/>
          <w:vertAlign w:val="superscript"/>
          <w:lang w:val="it-IT"/>
        </w:rPr>
        <w:t>5,6</w:t>
      </w:r>
      <w:r w:rsidRPr="00CC3FFF">
        <w:rPr>
          <w:rFonts w:ascii="Times New Roman" w:hAnsi="Times New Roman" w:cs="Times New Roman"/>
          <w:bCs/>
          <w:iCs/>
          <w:sz w:val="20"/>
          <w:szCs w:val="20"/>
          <w:lang w:val="it-IT"/>
        </w:rPr>
        <w:t>, A. Stefano</w:t>
      </w:r>
      <w:r w:rsidRPr="00CC3FFF">
        <w:rPr>
          <w:rFonts w:ascii="Times New Roman" w:hAnsi="Times New Roman" w:cs="Times New Roman"/>
          <w:bCs/>
          <w:iCs/>
          <w:sz w:val="20"/>
          <w:szCs w:val="20"/>
          <w:vertAlign w:val="superscript"/>
          <w:lang w:val="it-IT"/>
        </w:rPr>
        <w:t>3</w:t>
      </w:r>
    </w:p>
    <w:p w14:paraId="2FD4126E" w14:textId="77777777" w:rsidR="00F92592" w:rsidRPr="00CC3FFF" w:rsidRDefault="00F92592" w:rsidP="00F92592">
      <w:pPr>
        <w:adjustRightInd w:val="0"/>
        <w:snapToGrid w:val="0"/>
        <w:spacing w:line="260" w:lineRule="atLeast"/>
        <w:rPr>
          <w:rFonts w:ascii="Times New Roman" w:hAnsi="Times New Roman" w:cs="Times New Roman"/>
          <w:bCs/>
          <w:iCs/>
          <w:sz w:val="20"/>
          <w:szCs w:val="20"/>
          <w:lang w:val="it-IT"/>
        </w:rPr>
      </w:pPr>
    </w:p>
    <w:p w14:paraId="25477CA9" w14:textId="57B599A4" w:rsidR="00F92592" w:rsidRPr="00CC3FFF" w:rsidRDefault="00F92592" w:rsidP="00F92592">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Dep</w:t>
      </w:r>
      <w:r w:rsidR="0085418C"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Physics and Astronomy “Augusto Righi” (DIFA), University of Bologna, Bologna, Italy</w:t>
      </w:r>
    </w:p>
    <w:p w14:paraId="42862634" w14:textId="07FB9F06" w:rsidR="00F92592" w:rsidRPr="00CC3FFF" w:rsidRDefault="00F92592" w:rsidP="00F92592">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85418C"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Mechanical and Aerospace Engineering, Sapienza University of Rome, Rome, Italy</w:t>
      </w:r>
    </w:p>
    <w:p w14:paraId="732440AB" w14:textId="77777777" w:rsidR="0085418C" w:rsidRPr="00CC3FFF" w:rsidRDefault="00F92592" w:rsidP="00F92592">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Institute of Bioimaging and Complex Biological Systems - National Research Counc</w:t>
      </w:r>
      <w:r w:rsidR="0085418C" w:rsidRPr="00CC3FFF">
        <w:rPr>
          <w:rFonts w:ascii="Times New Roman" w:hAnsi="Times New Roman" w:cs="Times New Roman"/>
          <w:bCs/>
          <w:iCs/>
          <w:sz w:val="20"/>
          <w:szCs w:val="20"/>
        </w:rPr>
        <w:t>il (IBSBC - CNR), Cefalù, Italy</w:t>
      </w:r>
    </w:p>
    <w:p w14:paraId="2F746552" w14:textId="7B98E8B9" w:rsidR="00F92592" w:rsidRPr="00CC3FFF" w:rsidRDefault="00F92592" w:rsidP="00F92592">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Dep</w:t>
      </w:r>
      <w:r w:rsidR="0085418C"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Materials Science and Engineering, Yonsei University, 50 Yonsei-ro, Seodaemun-gu, Seoul, Republic of Korea</w:t>
      </w:r>
    </w:p>
    <w:p w14:paraId="1F5FB8C2" w14:textId="77777777" w:rsidR="00F92592" w:rsidRPr="00CC3FFF" w:rsidRDefault="00F92592" w:rsidP="00F92592">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5</w:t>
      </w:r>
      <w:r w:rsidRPr="00CC3FFF">
        <w:rPr>
          <w:rFonts w:ascii="Times New Roman" w:hAnsi="Times New Roman" w:cs="Times New Roman"/>
          <w:bCs/>
          <w:iCs/>
          <w:sz w:val="20"/>
          <w:szCs w:val="20"/>
          <w:lang w:val="it-IT"/>
        </w:rPr>
        <w:t>Istituto Scientifico Romagnolo per lo Studio e la Cura dei Tumori (IRST) IRCCS, Meldola (FC), Italy</w:t>
      </w:r>
    </w:p>
    <w:p w14:paraId="363FA645" w14:textId="715F6763" w:rsidR="00F92592" w:rsidRPr="00CC3FFF" w:rsidRDefault="00F92592" w:rsidP="00F92592">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6</w:t>
      </w:r>
      <w:r w:rsidRPr="00CC3FFF">
        <w:rPr>
          <w:rFonts w:ascii="Times New Roman" w:hAnsi="Times New Roman" w:cs="Times New Roman"/>
          <w:bCs/>
          <w:iCs/>
          <w:sz w:val="20"/>
          <w:szCs w:val="20"/>
        </w:rPr>
        <w:t>Dep</w:t>
      </w:r>
      <w:r w:rsidR="0085418C"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Medical and Surgical Sciences (DIMEC), University of Bologna, Bologna, Italy</w:t>
      </w:r>
    </w:p>
    <w:p w14:paraId="42DA7CF5" w14:textId="77777777" w:rsidR="00F92592" w:rsidRPr="00CC3FFF" w:rsidRDefault="00F92592" w:rsidP="00F92592">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7</w:t>
      </w:r>
      <w:r w:rsidRPr="00CC3FFF">
        <w:rPr>
          <w:rFonts w:ascii="Times New Roman" w:hAnsi="Times New Roman" w:cs="Times New Roman"/>
          <w:bCs/>
          <w:iCs/>
          <w:sz w:val="20"/>
          <w:szCs w:val="20"/>
          <w:lang w:val="it-IT"/>
        </w:rPr>
        <w:t>IRCCS Azienda Ospedaliero-Universitaria di Bologna S.Orsola, Bologna, Italy</w:t>
      </w:r>
    </w:p>
    <w:p w14:paraId="7F8C6641" w14:textId="77777777" w:rsidR="00C31F2C" w:rsidRPr="00CC3FFF" w:rsidRDefault="00C31F2C" w:rsidP="00C31F2C">
      <w:pPr>
        <w:adjustRightInd w:val="0"/>
        <w:snapToGrid w:val="0"/>
        <w:spacing w:line="260" w:lineRule="atLeast"/>
        <w:rPr>
          <w:rFonts w:ascii="Times New Roman" w:hAnsi="Times New Roman" w:cs="Times New Roman"/>
          <w:bCs/>
          <w:iCs/>
          <w:sz w:val="20"/>
          <w:szCs w:val="20"/>
          <w:lang w:val="it-IT"/>
        </w:rPr>
      </w:pPr>
    </w:p>
    <w:p w14:paraId="1FC72E9F" w14:textId="36DA96B0" w:rsidR="00F92592" w:rsidRPr="00CC3FFF" w:rsidRDefault="00F92592" w:rsidP="00F92592">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Objective</w:t>
      </w:r>
      <w:r w:rsidRPr="00CC3FFF">
        <w:rPr>
          <w:rFonts w:ascii="Times New Roman" w:hAnsi="Times New Roman" w:cs="Times New Roman"/>
          <w:bCs/>
          <w:iCs/>
          <w:sz w:val="20"/>
          <w:szCs w:val="20"/>
        </w:rPr>
        <w:t xml:space="preserve">: Radiomic analysis of 3D multicellular cultures, like spheroids and organoids, is emerging as a powerful tool for quantitative characterization of complex cellular models, including cultures derived from mesenchymal stem cells. The list of features that can be extracted from 3D images, alongside their specific mathematical equations, has been validated since 2016 by the </w:t>
      </w:r>
      <w:r w:rsidRPr="00CC3FFF">
        <w:rPr>
          <w:rFonts w:ascii="Times New Roman" w:hAnsi="Times New Roman" w:cs="Times New Roman"/>
          <w:bCs/>
          <w:i/>
          <w:iCs/>
          <w:sz w:val="20"/>
          <w:szCs w:val="20"/>
        </w:rPr>
        <w:t xml:space="preserve">International Image Biomarker Standardisation Initiative </w:t>
      </w:r>
      <w:r w:rsidRPr="00CC3FFF">
        <w:rPr>
          <w:rFonts w:ascii="Times New Roman" w:hAnsi="Times New Roman" w:cs="Times New Roman"/>
          <w:bCs/>
          <w:iCs/>
          <w:sz w:val="20"/>
          <w:szCs w:val="20"/>
        </w:rPr>
        <w:t>(IBSI) commission to ensure comparability between different analysis. The aim of this work is to create user-friendly, open-source software for radiomic analysis of 3D cell culture images tailored to support both experts and non-experts’ users in the whole analysis framework, from segmentation to classification models following the IBSI standard.</w:t>
      </w:r>
    </w:p>
    <w:p w14:paraId="3830C2A4" w14:textId="6978520E" w:rsidR="00F92592" w:rsidRPr="00CC3FFF" w:rsidRDefault="00F92592" w:rsidP="00F92592">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Materials and Methods</w:t>
      </w:r>
      <w:r w:rsidRPr="00CC3FFF">
        <w:rPr>
          <w:rFonts w:ascii="Times New Roman" w:hAnsi="Times New Roman" w:cs="Times New Roman"/>
          <w:bCs/>
          <w:iCs/>
          <w:sz w:val="20"/>
          <w:szCs w:val="20"/>
        </w:rPr>
        <w:t>: MatRad-OIDS is a MATLAB-based, open-source tool created to analyse z-stack images of 3D cell cultures acquired with a confocal or light-sheet fluorescence microscope. The software allows to visualize TIF/TIFF multilayer images, to segment them with manual, semi-automatic and automatic methods, extract and reduce IBSI-compliant features and train classification models based on the features extracted from the 3D cultures.</w:t>
      </w:r>
    </w:p>
    <w:p w14:paraId="5EED61FE" w14:textId="15841A65" w:rsidR="00F92592" w:rsidRPr="00CC3FFF" w:rsidRDefault="00F92592" w:rsidP="00F92592">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Results</w:t>
      </w:r>
      <w:r w:rsidRPr="00CC3FFF">
        <w:rPr>
          <w:rFonts w:ascii="Times New Roman" w:hAnsi="Times New Roman" w:cs="Times New Roman"/>
          <w:bCs/>
          <w:iCs/>
          <w:sz w:val="20"/>
          <w:szCs w:val="20"/>
        </w:rPr>
        <w:t>: MatRad-OIDS has been validated on two different datasets of microscopy images composed, respectively, of 3D spheroids and mesenchymal single cells z-stacks. Both the segmentation performances and the extracted features’ compliance with the IBSI initiative have been tested. The results showed high goodness in the segmentation (with an average JI of 0.8 ± 01) and complete conformity with the IBSI standard. The output of the analysis is automatically saved in a designated folder where the segmentation masks, the reduced and extracted features, the classification models and the user parameters are stored to guarantee complete repeatability of the radiomic workflows.</w:t>
      </w:r>
    </w:p>
    <w:p w14:paraId="36DC6C15" w14:textId="3EE0DB26" w:rsidR="00F92592" w:rsidRPr="00CC3FFF" w:rsidRDefault="00F92592" w:rsidP="00F92592">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Conclusions</w:t>
      </w:r>
      <w:r w:rsidRPr="00CC3FFF">
        <w:rPr>
          <w:rFonts w:ascii="Times New Roman" w:hAnsi="Times New Roman" w:cs="Times New Roman"/>
          <w:bCs/>
          <w:iCs/>
          <w:sz w:val="20"/>
          <w:szCs w:val="20"/>
        </w:rPr>
        <w:t xml:space="preserve">: MatRad-OIDS offers a comprehensive and easily accessible platform for radiomic </w:t>
      </w:r>
      <w:r w:rsidRPr="00CC3FFF">
        <w:rPr>
          <w:rFonts w:ascii="Times New Roman" w:hAnsi="Times New Roman" w:cs="Times New Roman"/>
          <w:bCs/>
          <w:iCs/>
          <w:sz w:val="20"/>
          <w:szCs w:val="20"/>
        </w:rPr>
        <w:lastRenderedPageBreak/>
        <w:t xml:space="preserve">analysis of 3D multicellular cultures of different types, improving the integration between acquisition, segmentation, feature extraction and classification. </w:t>
      </w:r>
      <w:r w:rsidRPr="00CC3FFF">
        <w:rPr>
          <w:rFonts w:ascii="Times New Roman" w:hAnsi="Times New Roman" w:cs="Times New Roman"/>
          <w:bCs/>
          <w:i/>
          <w:iCs/>
          <w:sz w:val="20"/>
          <w:szCs w:val="20"/>
        </w:rPr>
        <w:t>MatRad-OIDS MATLAB</w:t>
      </w:r>
      <w:r w:rsidRPr="00CC3FFF">
        <w:rPr>
          <w:rFonts w:ascii="Times New Roman" w:hAnsi="Times New Roman" w:cs="Times New Roman"/>
          <w:bCs/>
          <w:iCs/>
          <w:sz w:val="20"/>
          <w:szCs w:val="20"/>
        </w:rPr>
        <w:t xml:space="preserve"> source code, standalone </w:t>
      </w:r>
      <w:r w:rsidRPr="00CC3FFF">
        <w:rPr>
          <w:rFonts w:ascii="Times New Roman" w:hAnsi="Times New Roman" w:cs="Times New Roman"/>
          <w:bCs/>
          <w:i/>
          <w:iCs/>
          <w:sz w:val="20"/>
          <w:szCs w:val="20"/>
        </w:rPr>
        <w:t>Windows, MacOS</w:t>
      </w:r>
      <w:r w:rsidRPr="00CC3FFF">
        <w:rPr>
          <w:rFonts w:ascii="Times New Roman" w:hAnsi="Times New Roman" w:cs="Times New Roman"/>
          <w:bCs/>
          <w:iCs/>
          <w:sz w:val="20"/>
          <w:szCs w:val="20"/>
        </w:rPr>
        <w:t xml:space="preserve"> and </w:t>
      </w:r>
      <w:r w:rsidRPr="00CC3FFF">
        <w:rPr>
          <w:rFonts w:ascii="Times New Roman" w:hAnsi="Times New Roman" w:cs="Times New Roman"/>
          <w:bCs/>
          <w:i/>
          <w:iCs/>
          <w:sz w:val="20"/>
          <w:szCs w:val="20"/>
        </w:rPr>
        <w:t>Linux</w:t>
      </w:r>
      <w:r w:rsidRPr="00CC3FFF">
        <w:rPr>
          <w:rFonts w:ascii="Times New Roman" w:hAnsi="Times New Roman" w:cs="Times New Roman"/>
          <w:bCs/>
          <w:iCs/>
          <w:sz w:val="20"/>
          <w:szCs w:val="20"/>
        </w:rPr>
        <w:t xml:space="preserve"> applications, video tutorial, user documentation, and sample datasets are publicly available at: </w:t>
      </w:r>
      <w:r w:rsidRPr="00CC3FFF">
        <w:rPr>
          <w:rFonts w:ascii="Times New Roman" w:hAnsi="Times New Roman" w:cs="Times New Roman"/>
          <w:bCs/>
          <w:i/>
          <w:iCs/>
          <w:sz w:val="20"/>
          <w:szCs w:val="20"/>
        </w:rPr>
        <w:t>https://github.com/research-giovap/MatRad-OIDS/.</w:t>
      </w:r>
    </w:p>
    <w:p w14:paraId="6779EE6A" w14:textId="77777777"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0F85CAB2" w14:textId="2A9C5B39" w:rsidR="00972FB6" w:rsidRPr="00CC3FFF" w:rsidRDefault="00F35CD7" w:rsidP="00972FB6">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59</w:t>
      </w:r>
      <w:r w:rsidR="00C31F2C" w:rsidRPr="00CC3FFF">
        <w:rPr>
          <w:rFonts w:ascii="Times New Roman" w:hAnsi="Times New Roman" w:cs="Times New Roman"/>
          <w:b/>
          <w:bCs/>
          <w:iCs/>
          <w:sz w:val="20"/>
          <w:szCs w:val="20"/>
        </w:rPr>
        <w:t xml:space="preserve">. </w:t>
      </w:r>
      <w:r w:rsidR="00972FB6" w:rsidRPr="00CC3FFF">
        <w:rPr>
          <w:rFonts w:ascii="Times New Roman" w:hAnsi="Times New Roman" w:cs="Times New Roman"/>
          <w:b/>
          <w:bCs/>
          <w:iCs/>
          <w:caps/>
          <w:sz w:val="20"/>
          <w:szCs w:val="20"/>
        </w:rPr>
        <w:t>Isolation of mesenchymal stromal cells derived from human arteries: a focus on their regenerative features and cell to cell communication</w:t>
      </w:r>
    </w:p>
    <w:p w14:paraId="10A77231" w14:textId="2ABC2936" w:rsidR="00C31F2C" w:rsidRPr="00CC3FFF" w:rsidRDefault="00C31F2C" w:rsidP="00C31F2C">
      <w:pPr>
        <w:adjustRightInd w:val="0"/>
        <w:snapToGrid w:val="0"/>
        <w:spacing w:line="260" w:lineRule="atLeast"/>
        <w:rPr>
          <w:rFonts w:ascii="Times New Roman" w:hAnsi="Times New Roman" w:cs="Times New Roman"/>
          <w:bCs/>
          <w:iCs/>
          <w:caps/>
          <w:sz w:val="20"/>
          <w:szCs w:val="20"/>
        </w:rPr>
      </w:pPr>
    </w:p>
    <w:p w14:paraId="2EDFD138" w14:textId="33BCEEC5" w:rsidR="00C31F2C" w:rsidRPr="00CC3FFF" w:rsidRDefault="00972FB6" w:rsidP="00C31F2C">
      <w:pPr>
        <w:adjustRightInd w:val="0"/>
        <w:snapToGrid w:val="0"/>
        <w:spacing w:line="260" w:lineRule="atLeast"/>
        <w:rPr>
          <w:rFonts w:ascii="Times New Roman" w:hAnsi="Times New Roman" w:cs="Times New Roman"/>
          <w:bCs/>
          <w:iCs/>
          <w:sz w:val="20"/>
          <w:szCs w:val="20"/>
          <w:vertAlign w:val="superscript"/>
          <w:lang w:val="it-IT"/>
        </w:rPr>
      </w:pPr>
      <w:r w:rsidRPr="00CC3FFF">
        <w:rPr>
          <w:rFonts w:ascii="Times New Roman" w:hAnsi="Times New Roman" w:cs="Times New Roman"/>
          <w:bCs/>
          <w:iCs/>
          <w:sz w:val="20"/>
          <w:szCs w:val="20"/>
          <w:lang w:val="it-IT"/>
        </w:rPr>
        <w:t>S. Valente</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C. Ciavarella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Alviano</w:t>
      </w:r>
      <w:r w:rsidRPr="00CC3FFF">
        <w:rPr>
          <w:rFonts w:ascii="Times New Roman" w:hAnsi="Times New Roman" w:cs="Times New Roman"/>
          <w:bCs/>
          <w:iCs/>
          <w:sz w:val="20"/>
          <w:szCs w:val="20"/>
          <w:vertAlign w:val="superscript"/>
          <w:lang w:val="it-IT"/>
        </w:rPr>
        <w:t>3</w:t>
      </w:r>
      <w:r w:rsidR="0085418C" w:rsidRPr="00CC3FFF">
        <w:rPr>
          <w:rFonts w:ascii="Times New Roman" w:hAnsi="Times New Roman" w:cs="Times New Roman"/>
          <w:bCs/>
          <w:iCs/>
          <w:sz w:val="20"/>
          <w:szCs w:val="20"/>
          <w:lang w:val="it-IT"/>
        </w:rPr>
        <w:t>, G</w:t>
      </w:r>
      <w:r w:rsidRPr="00CC3FFF">
        <w:rPr>
          <w:rFonts w:ascii="Times New Roman" w:hAnsi="Times New Roman" w:cs="Times New Roman"/>
          <w:bCs/>
          <w:iCs/>
          <w:sz w:val="20"/>
          <w:szCs w:val="20"/>
          <w:lang w:val="it-IT"/>
        </w:rPr>
        <w:t>. Pasquinelli</w:t>
      </w:r>
      <w:r w:rsidRPr="00CC3FFF">
        <w:rPr>
          <w:rFonts w:ascii="Times New Roman" w:hAnsi="Times New Roman" w:cs="Times New Roman"/>
          <w:bCs/>
          <w:iCs/>
          <w:sz w:val="20"/>
          <w:szCs w:val="20"/>
          <w:vertAlign w:val="superscript"/>
          <w:lang w:val="it-IT"/>
        </w:rPr>
        <w:t>1,2</w:t>
      </w:r>
    </w:p>
    <w:p w14:paraId="0EEFD898" w14:textId="77777777" w:rsidR="00972FB6" w:rsidRPr="00CC3FFF" w:rsidRDefault="00972FB6" w:rsidP="00C31F2C">
      <w:pPr>
        <w:adjustRightInd w:val="0"/>
        <w:snapToGrid w:val="0"/>
        <w:spacing w:line="260" w:lineRule="atLeast"/>
        <w:rPr>
          <w:rFonts w:ascii="Times New Roman" w:hAnsi="Times New Roman" w:cs="Times New Roman"/>
          <w:bCs/>
          <w:iCs/>
          <w:sz w:val="20"/>
          <w:szCs w:val="20"/>
          <w:lang w:val="it-IT"/>
        </w:rPr>
      </w:pPr>
    </w:p>
    <w:p w14:paraId="3F9D7377" w14:textId="6F534A1A" w:rsidR="0085418C" w:rsidRPr="00CC3FFF" w:rsidRDefault="00972FB6" w:rsidP="00972FB6">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Dep</w:t>
      </w:r>
      <w:r w:rsidR="0085418C" w:rsidRPr="00CC3FFF">
        <w:rPr>
          <w:rFonts w:ascii="Times New Roman" w:hAnsi="Times New Roman" w:cs="Times New Roman"/>
          <w:bCs/>
          <w:iCs/>
          <w:sz w:val="20"/>
          <w:szCs w:val="20"/>
          <w:lang w:val="it-IT"/>
        </w:rPr>
        <w:t>artmen</w:t>
      </w:r>
      <w:r w:rsidRPr="00CC3FFF">
        <w:rPr>
          <w:rFonts w:ascii="Times New Roman" w:hAnsi="Times New Roman" w:cs="Times New Roman"/>
          <w:bCs/>
          <w:iCs/>
          <w:sz w:val="20"/>
          <w:szCs w:val="20"/>
          <w:lang w:val="it-IT"/>
        </w:rPr>
        <w:t>t of Medical and Surgical Sciences (DIMEC), University of Bologna, Bologna, Italy</w:t>
      </w:r>
    </w:p>
    <w:p w14:paraId="78A9FDAB" w14:textId="48174421" w:rsidR="00972FB6" w:rsidRPr="00CC3FFF" w:rsidRDefault="00972FB6" w:rsidP="00972FB6">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Pathology Unit, IRCCS Azienda Ospedaliero-Universitaria di Bologna, Bologna, Italy</w:t>
      </w:r>
    </w:p>
    <w:p w14:paraId="2C75735F" w14:textId="719AEDB2" w:rsidR="00972FB6" w:rsidRPr="00CC3FFF" w:rsidRDefault="00972FB6" w:rsidP="00972FB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Dep</w:t>
      </w:r>
      <w:r w:rsidR="0085418C"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Biomedical and Neuromotor Sciences (DIBINEM), University of Bologna, Bologna, Italy</w:t>
      </w:r>
    </w:p>
    <w:p w14:paraId="57BC613B" w14:textId="77777777"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2B0A05F2" w14:textId="4354DD5E" w:rsidR="00972FB6" w:rsidRPr="00CC3FFF" w:rsidRDefault="00972FB6" w:rsidP="00972FB6">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Objective: </w:t>
      </w:r>
      <w:r w:rsidRPr="00CC3FFF">
        <w:rPr>
          <w:rFonts w:ascii="Times New Roman" w:hAnsi="Times New Roman" w:cs="Times New Roman"/>
          <w:bCs/>
          <w:iCs/>
          <w:sz w:val="20"/>
          <w:szCs w:val="20"/>
        </w:rPr>
        <w:t>The main aim of this study was to isolate, characterize and explore cell communication of Mesenchymal Stromal Cells (MSCs) derived from human vascular wall of arteries (hVW-MSCs) in 2D method and in 3D cell culture environment as spheroids. MSCs were discovered in multiple human source, including arterial wall. Among the peculiar characteristics of MSC as self-renewal and differentiative potential in different cell types, hVW-MSCs possess a singular cell communication system.</w:t>
      </w:r>
    </w:p>
    <w:p w14:paraId="321A9112" w14:textId="46E20E11" w:rsidR="00972FB6" w:rsidRPr="00CC3FFF" w:rsidRDefault="00972FB6" w:rsidP="00972FB6">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Resident MSCs were enzymatically isolated from cryopreserved arteries, including postmortem vascular tissues stored for at least 5 years, and characterized with phenotypic, morphological, molecular and metabolomic approaches. To generate spheroids, hVW-MSCs were cultured using low attachment plates or hanging drops methods. Cell communications were investigated in both cell culture approaches using light microscopy, as well as Transmission and Scanning Electron Microscopy (TEM and SEM).</w:t>
      </w:r>
    </w:p>
    <w:p w14:paraId="6C2A8C03" w14:textId="268E24AC" w:rsidR="00972FB6" w:rsidRPr="00CC3FFF" w:rsidRDefault="00972FB6" w:rsidP="00972FB6">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hVW-MSCs isolated from different arteries showed a fibroblast-like morphology with bipolar cytoplasmic extensions, expressing mesenchymal (CD44, CD90 and CD105) markers and differentiative potential in multiple cell lineages (adipo-, osteo-, and chondro-cytes) under appropriate stimuli. When cultured in 3D, hVW-MSCs spontaneously aggregated in floating spheroids, exhibiting mesenchymal markers, stemness properties and a quiescent status for the low percentage of cells expressing ki-67 proliferation marker and a slowed metabolism for the increased accumulation of intermediate metabolites. In 2D cell culture approach, SEM analysis demonstrated the presence of a 3D complex and articulated network of micro- and nano-tubular connections. It is formed by extremely thin and very long sinusoidal cytoplasmic projections used by hVW-MSCs to connect specific cells at exceedingly long distance consenting long-range cell to cell communication. TEM highlighted the presence of mitochondria and actin microfilament collections inside these microtubular projections. Similar trend was observed also in spheroids derived from hVW-MSCs.</w:t>
      </w:r>
    </w:p>
    <w:p w14:paraId="3521EC6A" w14:textId="35EFA1C4" w:rsidR="00972FB6" w:rsidRPr="00CC3FFF" w:rsidRDefault="00972FB6" w:rsidP="00972FB6">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Conclusions: </w:t>
      </w:r>
      <w:r w:rsidRPr="00CC3FFF">
        <w:rPr>
          <w:rFonts w:ascii="Times New Roman" w:hAnsi="Times New Roman" w:cs="Times New Roman"/>
          <w:bCs/>
          <w:iCs/>
          <w:sz w:val="20"/>
          <w:szCs w:val="20"/>
        </w:rPr>
        <w:t>These data proved that hVW-MSCs derived from vascular wall arterial segments could represent promising candidates in the field of regenerative medicine. The dynamic cell-cell interactions, even at considerable distances through a tubular network, represent a fascinating issue to further investigate for future translational applications.</w:t>
      </w:r>
    </w:p>
    <w:p w14:paraId="74F6188C" w14:textId="77777777"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2018B503" w14:textId="1466B159" w:rsidR="00C31F2C" w:rsidRPr="00CC3FFF" w:rsidRDefault="00766203" w:rsidP="00C31F2C">
      <w:pPr>
        <w:adjustRightInd w:val="0"/>
        <w:snapToGrid w:val="0"/>
        <w:spacing w:line="260" w:lineRule="atLeast"/>
        <w:rPr>
          <w:rFonts w:ascii="Times New Roman" w:hAnsi="Times New Roman" w:cs="Times New Roman"/>
          <w:b/>
          <w:bCs/>
          <w:iCs/>
          <w:caps/>
          <w:sz w:val="20"/>
          <w:szCs w:val="20"/>
        </w:rPr>
      </w:pPr>
      <w:r w:rsidRPr="00CC3FFF">
        <w:rPr>
          <w:rFonts w:ascii="Times New Roman" w:hAnsi="Times New Roman" w:cs="Times New Roman"/>
          <w:b/>
          <w:bCs/>
          <w:iCs/>
          <w:sz w:val="20"/>
          <w:szCs w:val="20"/>
        </w:rPr>
        <w:t>60</w:t>
      </w:r>
      <w:r w:rsidR="00C31F2C" w:rsidRPr="00CC3FFF">
        <w:rPr>
          <w:rFonts w:ascii="Times New Roman" w:hAnsi="Times New Roman" w:cs="Times New Roman"/>
          <w:b/>
          <w:bCs/>
          <w:iCs/>
          <w:sz w:val="20"/>
          <w:szCs w:val="20"/>
        </w:rPr>
        <w:t xml:space="preserve">. </w:t>
      </w:r>
      <w:r w:rsidRPr="00CC3FFF">
        <w:rPr>
          <w:rFonts w:ascii="Times New Roman" w:hAnsi="Times New Roman" w:cs="Times New Roman"/>
          <w:b/>
          <w:bCs/>
          <w:iCs/>
          <w:caps/>
          <w:sz w:val="20"/>
          <w:szCs w:val="20"/>
        </w:rPr>
        <w:t>MicroRNA-31- engineered extracellular vesicles as a target therapy for inflammatory bowel disease</w:t>
      </w:r>
    </w:p>
    <w:p w14:paraId="6EE4FB32" w14:textId="77777777"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5D11E4F1" w14:textId="11AD4163" w:rsidR="00766203" w:rsidRPr="00CC3FFF" w:rsidRDefault="00766203" w:rsidP="00766203">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A. H. Dorigo Hochuli</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A. Zaramella</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M. Duci</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P. Bisaccia</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R. Moll-Diaz</w:t>
      </w:r>
      <w:r w:rsidRPr="00CC3FFF">
        <w:rPr>
          <w:rFonts w:ascii="Times New Roman" w:hAnsi="Times New Roman" w:cs="Times New Roman"/>
          <w:bCs/>
          <w:iCs/>
          <w:sz w:val="20"/>
          <w:szCs w:val="20"/>
          <w:vertAlign w:val="superscript"/>
          <w:lang w:val="it-IT"/>
        </w:rPr>
        <w:t>1,2</w:t>
      </w:r>
      <w:r w:rsidRPr="00CC3FFF">
        <w:rPr>
          <w:rFonts w:ascii="Times New Roman" w:hAnsi="Times New Roman" w:cs="Times New Roman"/>
          <w:bCs/>
          <w:iCs/>
          <w:sz w:val="20"/>
          <w:szCs w:val="20"/>
          <w:lang w:val="it-IT"/>
        </w:rPr>
        <w:t>, M. Pozzobon</w:t>
      </w:r>
      <w:r w:rsidRPr="00CC3FFF">
        <w:rPr>
          <w:rFonts w:ascii="Times New Roman" w:hAnsi="Times New Roman" w:cs="Times New Roman"/>
          <w:bCs/>
          <w:iCs/>
          <w:sz w:val="20"/>
          <w:szCs w:val="20"/>
          <w:vertAlign w:val="superscript"/>
          <w:lang w:val="it-IT"/>
        </w:rPr>
        <w:t>1,2</w:t>
      </w:r>
    </w:p>
    <w:p w14:paraId="5CC3CA13" w14:textId="77777777" w:rsidR="00C31F2C" w:rsidRPr="00CC3FFF" w:rsidRDefault="00C31F2C" w:rsidP="00C31F2C">
      <w:pPr>
        <w:adjustRightInd w:val="0"/>
        <w:snapToGrid w:val="0"/>
        <w:spacing w:line="260" w:lineRule="atLeast"/>
        <w:rPr>
          <w:rFonts w:ascii="Times New Roman" w:hAnsi="Times New Roman" w:cs="Times New Roman"/>
          <w:bCs/>
          <w:iCs/>
          <w:sz w:val="20"/>
          <w:szCs w:val="20"/>
          <w:lang w:val="it-IT"/>
        </w:rPr>
      </w:pPr>
    </w:p>
    <w:p w14:paraId="4BB5B0F8" w14:textId="6E1F8741" w:rsidR="00766203" w:rsidRPr="00CC3FFF" w:rsidRDefault="00766203" w:rsidP="0076620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1</w:t>
      </w:r>
      <w:r w:rsidRPr="00CC3FFF">
        <w:rPr>
          <w:rFonts w:ascii="Times New Roman" w:hAnsi="Times New Roman" w:cs="Times New Roman"/>
          <w:bCs/>
          <w:iCs/>
          <w:sz w:val="20"/>
          <w:szCs w:val="20"/>
        </w:rPr>
        <w:t>Stem Cell and Regenerative Medicine Lab, Institute of Pediatric Research Città della Speranza, Padua, Italy</w:t>
      </w:r>
    </w:p>
    <w:p w14:paraId="1452FC7A" w14:textId="733B0714" w:rsidR="00766203" w:rsidRPr="00CC3FFF" w:rsidRDefault="00766203" w:rsidP="0076620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Dep</w:t>
      </w:r>
      <w:r w:rsidR="0085418C"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Women’s and Children’s Health, University of Padua, Padua, Italy</w:t>
      </w:r>
    </w:p>
    <w:p w14:paraId="4DE51DDF" w14:textId="3BD73FC1"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14DABF64" w14:textId="0EBE114C" w:rsidR="00766203" w:rsidRPr="00CC3FFF" w:rsidRDefault="00766203" w:rsidP="0076620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lastRenderedPageBreak/>
        <w:t xml:space="preserve">Objective: </w:t>
      </w:r>
      <w:r w:rsidRPr="00CC3FFF">
        <w:rPr>
          <w:rFonts w:ascii="Times New Roman" w:hAnsi="Times New Roman" w:cs="Times New Roman"/>
          <w:bCs/>
          <w:iCs/>
          <w:sz w:val="20"/>
          <w:szCs w:val="20"/>
        </w:rPr>
        <w:t>The aim of this project is to demonstrate the role of microRNA-31-carrying extracellular vesicles (EVs) in inflammatory pathological conditions, such as Inflammatory Bowel Disease (IBD). IBD is a chronic gastrointestinal disorder characterised by impaired epithelial regeneration and barrier dysfunction.</w:t>
      </w:r>
      <w:r w:rsidR="0085418C" w:rsidRPr="00CC3FFF">
        <w:rPr>
          <w:rFonts w:ascii="Times New Roman" w:hAnsi="Times New Roman" w:cs="Times New Roman"/>
          <w:bCs/>
          <w:iCs/>
          <w:sz w:val="20"/>
          <w:szCs w:val="20"/>
        </w:rPr>
        <w:t xml:space="preserve"> </w:t>
      </w:r>
      <w:r w:rsidRPr="00CC3FFF">
        <w:rPr>
          <w:rFonts w:ascii="Times New Roman" w:hAnsi="Times New Roman" w:cs="Times New Roman"/>
          <w:bCs/>
          <w:iCs/>
          <w:sz w:val="20"/>
          <w:szCs w:val="20"/>
        </w:rPr>
        <w:t>Current treatments primarily target inflammation and do not directly promote mucosal healing. MicroRNA-31 (miR31) regulates epithelial regeneration and inflammatory pathways, but its therapeutic potential in IBD remains insufficiently explored. Bone marrow mesenchymal stromal cell (BM-MSC)</w:t>
      </w:r>
    </w:p>
    <w:p w14:paraId="26ED1BB9" w14:textId="77777777" w:rsidR="00766203" w:rsidRPr="00CC3FFF" w:rsidRDefault="00766203" w:rsidP="0076620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-derived EVs represent promising delivery vehicles due to their low immunogenicity and barrier-crossing ability.</w:t>
      </w:r>
    </w:p>
    <w:p w14:paraId="7FC2D1C0" w14:textId="6439D878" w:rsidR="00766203" w:rsidRPr="00CC3FFF" w:rsidRDefault="00766203" w:rsidP="0076620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caps/>
          <w:sz w:val="20"/>
          <w:szCs w:val="20"/>
        </w:rPr>
        <w:t xml:space="preserve">Materials and Methods: </w:t>
      </w:r>
      <w:r w:rsidRPr="00CC3FFF">
        <w:rPr>
          <w:rFonts w:ascii="Times New Roman" w:hAnsi="Times New Roman" w:cs="Times New Roman"/>
          <w:bCs/>
          <w:iCs/>
          <w:sz w:val="20"/>
          <w:szCs w:val="20"/>
        </w:rPr>
        <w:t>Murine colon organoids were obtained from an already established protocol. EVs were isolated from BM-MSCs and loaded with miR31 using electroporation or passive loading. EVs were characterised by tunable resistive pulse sensing and flow cytometry. EV uptake was confirmed by confocal microscopy.</w:t>
      </w:r>
      <w:r w:rsidR="0085418C" w:rsidRPr="00CC3FFF">
        <w:rPr>
          <w:rFonts w:ascii="Times New Roman" w:hAnsi="Times New Roman" w:cs="Times New Roman"/>
          <w:bCs/>
          <w:iCs/>
          <w:sz w:val="20"/>
          <w:szCs w:val="20"/>
        </w:rPr>
        <w:t xml:space="preserve"> </w:t>
      </w:r>
      <w:r w:rsidRPr="00CC3FFF">
        <w:rPr>
          <w:rFonts w:ascii="Times New Roman" w:hAnsi="Times New Roman" w:cs="Times New Roman"/>
          <w:bCs/>
          <w:iCs/>
          <w:sz w:val="20"/>
          <w:szCs w:val="20"/>
        </w:rPr>
        <w:t>Therapeutic effects were assessed ex vivo in an IBD-like mouse colon organoid model. Outcomes included organoid viability, metabolic activity evaluation, and surface area measurements. RT-qPCR was used to analyse the expression of inflammatory (Tnfa, Il6st) and regenerative (Ccnb1, Lats2) genes.</w:t>
      </w:r>
    </w:p>
    <w:p w14:paraId="3E32BFBB" w14:textId="67200FF3" w:rsidR="00766203" w:rsidRPr="00CC3FFF" w:rsidRDefault="00766203" w:rsidP="00766203">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 xml:space="preserve">Results: </w:t>
      </w:r>
      <w:r w:rsidRPr="00CC3FFF">
        <w:rPr>
          <w:rFonts w:ascii="Times New Roman" w:hAnsi="Times New Roman" w:cs="Times New Roman"/>
          <w:bCs/>
          <w:iCs/>
          <w:sz w:val="20"/>
          <w:szCs w:val="20"/>
        </w:rPr>
        <w:t>Both loading methods successfully incorporated miR31 into EVs, with passive loading better preserving EV surface markers. miR31-loaded EVs enhanced viability, metabolic activity, and growth of IBD-like organoids. Gene expression analysis showed downregulation of inflammatory markers (Tnfa, Il6st) and Lats2, together with the upregulation of Ccnb1, indicating suppression of inflammation and activation of Wnt/β-catenin signalling. Although electroporation induced stronger gene modulation, passive loading achieved comparable functional outcomes with minimal impact on EV phenotype.</w:t>
      </w:r>
    </w:p>
    <w:p w14:paraId="5A095FCE" w14:textId="10F534BD" w:rsidR="00766203" w:rsidRPr="00CC3FFF" w:rsidRDefault="00766203" w:rsidP="00766203">
      <w:pPr>
        <w:adjustRightInd w:val="0"/>
        <w:snapToGrid w:val="0"/>
        <w:spacing w:line="260" w:lineRule="atLeast"/>
        <w:rPr>
          <w:rFonts w:ascii="Times New Roman" w:hAnsi="Times New Roman" w:cs="Times New Roman"/>
          <w:bCs/>
          <w:iCs/>
          <w:caps/>
          <w:sz w:val="20"/>
          <w:szCs w:val="20"/>
        </w:rPr>
      </w:pPr>
      <w:r w:rsidRPr="00CC3FFF">
        <w:rPr>
          <w:rFonts w:ascii="Times New Roman" w:hAnsi="Times New Roman" w:cs="Times New Roman"/>
          <w:bCs/>
          <w:iCs/>
          <w:caps/>
          <w:sz w:val="20"/>
          <w:szCs w:val="20"/>
        </w:rPr>
        <w:t>Conclusion</w:t>
      </w:r>
      <w:r w:rsidR="006D3B3B">
        <w:rPr>
          <w:rFonts w:ascii="Times New Roman" w:hAnsi="Times New Roman" w:cs="Times New Roman"/>
          <w:bCs/>
          <w:iCs/>
          <w:caps/>
          <w:sz w:val="20"/>
          <w:szCs w:val="20"/>
        </w:rPr>
        <w:t>S</w:t>
      </w:r>
      <w:r w:rsidRPr="00CC3FFF">
        <w:rPr>
          <w:rFonts w:ascii="Times New Roman" w:hAnsi="Times New Roman" w:cs="Times New Roman"/>
          <w:bCs/>
          <w:iCs/>
          <w:caps/>
          <w:sz w:val="20"/>
          <w:szCs w:val="20"/>
        </w:rPr>
        <w:t xml:space="preserve">: </w:t>
      </w:r>
      <w:r w:rsidRPr="00CC3FFF">
        <w:rPr>
          <w:rFonts w:ascii="Times New Roman" w:hAnsi="Times New Roman" w:cs="Times New Roman"/>
          <w:bCs/>
          <w:iCs/>
          <w:sz w:val="20"/>
          <w:szCs w:val="20"/>
        </w:rPr>
        <w:t>miR31-loaded BM-MSC EVs exhibit regenerative and anti-inflammatory effects in ex vivo IBD models, supporting their potential as a cell-free therapeutic strategy. Passive loading is the preferred approach for translational development due to its superior preservation of EV integrity.</w:t>
      </w:r>
    </w:p>
    <w:p w14:paraId="019372BB" w14:textId="77777777" w:rsidR="00C31F2C" w:rsidRPr="00CC3FFF" w:rsidRDefault="00C31F2C" w:rsidP="00C31F2C">
      <w:pPr>
        <w:adjustRightInd w:val="0"/>
        <w:snapToGrid w:val="0"/>
        <w:spacing w:line="260" w:lineRule="atLeast"/>
        <w:rPr>
          <w:rFonts w:ascii="Times New Roman" w:hAnsi="Times New Roman" w:cs="Times New Roman"/>
          <w:bCs/>
          <w:iCs/>
          <w:sz w:val="20"/>
          <w:szCs w:val="20"/>
        </w:rPr>
      </w:pPr>
    </w:p>
    <w:p w14:paraId="28553B74" w14:textId="22C4605B" w:rsidR="00C31F2C" w:rsidRPr="00CC3FFF" w:rsidRDefault="00766203" w:rsidP="00C31F2C">
      <w:pPr>
        <w:adjustRightInd w:val="0"/>
        <w:snapToGrid w:val="0"/>
        <w:spacing w:line="260" w:lineRule="atLeast"/>
        <w:rPr>
          <w:rFonts w:ascii="Times New Roman" w:hAnsi="Times New Roman" w:cs="Times New Roman"/>
          <w:b/>
          <w:bCs/>
          <w:iCs/>
          <w:sz w:val="20"/>
          <w:szCs w:val="20"/>
        </w:rPr>
      </w:pPr>
      <w:r w:rsidRPr="00CC3FFF">
        <w:rPr>
          <w:rFonts w:ascii="Times New Roman" w:hAnsi="Times New Roman" w:cs="Times New Roman"/>
          <w:b/>
          <w:bCs/>
          <w:iCs/>
          <w:sz w:val="20"/>
          <w:szCs w:val="20"/>
        </w:rPr>
        <w:t>61</w:t>
      </w:r>
      <w:r w:rsidR="00C31F2C" w:rsidRPr="00CC3FFF">
        <w:rPr>
          <w:rFonts w:ascii="Times New Roman" w:hAnsi="Times New Roman" w:cs="Times New Roman"/>
          <w:b/>
          <w:bCs/>
          <w:iCs/>
          <w:sz w:val="20"/>
          <w:szCs w:val="20"/>
        </w:rPr>
        <w:t xml:space="preserve">. </w:t>
      </w:r>
      <w:r w:rsidRPr="00CC3FFF">
        <w:rPr>
          <w:rFonts w:ascii="Times New Roman" w:hAnsi="Times New Roman" w:cs="Times New Roman"/>
          <w:b/>
          <w:bCs/>
          <w:iCs/>
          <w:caps/>
          <w:sz w:val="20"/>
          <w:szCs w:val="20"/>
        </w:rPr>
        <w:t>Celector label-free microfluidic technology enables quality control and mesenchymal enrichment of fetal membrane stem cell subpopulations</w:t>
      </w:r>
    </w:p>
    <w:p w14:paraId="6FD8BD37" w14:textId="77777777" w:rsidR="00766203" w:rsidRPr="00CC3FFF" w:rsidRDefault="00766203" w:rsidP="00C31F2C">
      <w:pPr>
        <w:adjustRightInd w:val="0"/>
        <w:snapToGrid w:val="0"/>
        <w:spacing w:line="260" w:lineRule="atLeast"/>
        <w:rPr>
          <w:rFonts w:ascii="Times New Roman" w:hAnsi="Times New Roman" w:cs="Times New Roman"/>
          <w:bCs/>
          <w:iCs/>
          <w:sz w:val="20"/>
          <w:szCs w:val="20"/>
        </w:rPr>
      </w:pPr>
    </w:p>
    <w:p w14:paraId="4C283434" w14:textId="491AC53F" w:rsidR="00766203" w:rsidRPr="00CC3FFF" w:rsidRDefault="00766203" w:rsidP="00766203">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lang w:val="it-IT"/>
        </w:rPr>
        <w:t>S. Zia</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C. Gamberini</w:t>
      </w: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 F. Paris</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P. Marrazzo</w:t>
      </w:r>
      <w:r w:rsidRPr="00CC3FFF">
        <w:rPr>
          <w:rFonts w:ascii="Times New Roman" w:hAnsi="Times New Roman" w:cs="Times New Roman"/>
          <w:bCs/>
          <w:iCs/>
          <w:sz w:val="20"/>
          <w:szCs w:val="20"/>
          <w:vertAlign w:val="superscript"/>
          <w:lang w:val="it-IT"/>
        </w:rPr>
        <w:t>3</w:t>
      </w:r>
      <w:r w:rsidRPr="00CC3FFF">
        <w:rPr>
          <w:rFonts w:ascii="Times New Roman" w:hAnsi="Times New Roman" w:cs="Times New Roman"/>
          <w:bCs/>
          <w:iCs/>
          <w:sz w:val="20"/>
          <w:szCs w:val="20"/>
          <w:lang w:val="it-IT"/>
        </w:rPr>
        <w:t>, P. Lombardi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S. Ratti</w:t>
      </w:r>
      <w:r w:rsidRPr="00CC3FFF">
        <w:rPr>
          <w:rFonts w:ascii="Times New Roman" w:hAnsi="Times New Roman" w:cs="Times New Roman"/>
          <w:bCs/>
          <w:iCs/>
          <w:sz w:val="20"/>
          <w:szCs w:val="20"/>
          <w:vertAlign w:val="superscript"/>
          <w:lang w:val="it-IT"/>
        </w:rPr>
        <w:t>2</w:t>
      </w:r>
      <w:r w:rsidRPr="00CC3FFF">
        <w:rPr>
          <w:rFonts w:ascii="Times New Roman" w:hAnsi="Times New Roman" w:cs="Times New Roman"/>
          <w:bCs/>
          <w:iCs/>
          <w:sz w:val="20"/>
          <w:szCs w:val="20"/>
          <w:lang w:val="it-IT"/>
        </w:rPr>
        <w:t>, A. Zattoni</w:t>
      </w:r>
      <w:r w:rsidRPr="00CC3FFF">
        <w:rPr>
          <w:rFonts w:ascii="Times New Roman" w:hAnsi="Times New Roman" w:cs="Times New Roman"/>
          <w:bCs/>
          <w:iCs/>
          <w:sz w:val="20"/>
          <w:szCs w:val="20"/>
          <w:vertAlign w:val="superscript"/>
          <w:lang w:val="it-IT"/>
        </w:rPr>
        <w:t>1,4</w:t>
      </w:r>
      <w:r w:rsidRPr="00CC3FFF">
        <w:rPr>
          <w:rFonts w:ascii="Times New Roman" w:hAnsi="Times New Roman" w:cs="Times New Roman"/>
          <w:bCs/>
          <w:iCs/>
          <w:sz w:val="20"/>
          <w:szCs w:val="20"/>
          <w:lang w:val="it-IT"/>
        </w:rPr>
        <w:t>, P. Reschiglian</w:t>
      </w:r>
      <w:r w:rsidRPr="00CC3FFF">
        <w:rPr>
          <w:rFonts w:ascii="Times New Roman" w:hAnsi="Times New Roman" w:cs="Times New Roman"/>
          <w:bCs/>
          <w:iCs/>
          <w:sz w:val="20"/>
          <w:szCs w:val="20"/>
          <w:vertAlign w:val="superscript"/>
          <w:lang w:val="it-IT"/>
        </w:rPr>
        <w:t>1,4</w:t>
      </w:r>
      <w:r w:rsidRPr="00CC3FFF">
        <w:rPr>
          <w:rFonts w:ascii="Times New Roman" w:hAnsi="Times New Roman" w:cs="Times New Roman"/>
          <w:bCs/>
          <w:iCs/>
          <w:sz w:val="20"/>
          <w:szCs w:val="20"/>
          <w:lang w:val="it-IT"/>
        </w:rPr>
        <w:t>, B. Roda</w:t>
      </w:r>
      <w:r w:rsidRPr="00CC3FFF">
        <w:rPr>
          <w:rFonts w:ascii="Times New Roman" w:hAnsi="Times New Roman" w:cs="Times New Roman"/>
          <w:bCs/>
          <w:iCs/>
          <w:sz w:val="20"/>
          <w:szCs w:val="20"/>
          <w:vertAlign w:val="superscript"/>
          <w:lang w:val="it-IT"/>
        </w:rPr>
        <w:t>1,4*</w:t>
      </w:r>
      <w:r w:rsidRPr="00CC3FFF">
        <w:rPr>
          <w:rFonts w:ascii="Times New Roman" w:hAnsi="Times New Roman" w:cs="Times New Roman"/>
          <w:bCs/>
          <w:iCs/>
          <w:sz w:val="20"/>
          <w:szCs w:val="20"/>
          <w:lang w:val="it-IT"/>
        </w:rPr>
        <w:t>, F. Alviano</w:t>
      </w:r>
      <w:r w:rsidRPr="00CC3FFF">
        <w:rPr>
          <w:rFonts w:ascii="Times New Roman" w:hAnsi="Times New Roman" w:cs="Times New Roman"/>
          <w:bCs/>
          <w:iCs/>
          <w:sz w:val="20"/>
          <w:szCs w:val="20"/>
          <w:vertAlign w:val="superscript"/>
          <w:lang w:val="it-IT"/>
        </w:rPr>
        <w:t>2*</w:t>
      </w:r>
    </w:p>
    <w:p w14:paraId="092A5D52" w14:textId="77777777" w:rsidR="00C31F2C" w:rsidRPr="00CC3FFF" w:rsidRDefault="00C31F2C" w:rsidP="00C31F2C">
      <w:pPr>
        <w:adjustRightInd w:val="0"/>
        <w:snapToGrid w:val="0"/>
        <w:spacing w:line="260" w:lineRule="atLeast"/>
        <w:rPr>
          <w:rFonts w:ascii="Times New Roman" w:hAnsi="Times New Roman" w:cs="Times New Roman"/>
          <w:bCs/>
          <w:iCs/>
          <w:sz w:val="20"/>
          <w:szCs w:val="20"/>
          <w:lang w:val="it-IT"/>
        </w:rPr>
      </w:pPr>
    </w:p>
    <w:p w14:paraId="3E2F3A2B" w14:textId="599D5875" w:rsidR="00766203" w:rsidRPr="00CC3FFF" w:rsidRDefault="00766203" w:rsidP="00766203">
      <w:pPr>
        <w:adjustRightInd w:val="0"/>
        <w:snapToGrid w:val="0"/>
        <w:spacing w:line="260" w:lineRule="atLeast"/>
        <w:rPr>
          <w:rFonts w:ascii="Times New Roman" w:hAnsi="Times New Roman" w:cs="Times New Roman"/>
          <w:bCs/>
          <w:iCs/>
          <w:sz w:val="20"/>
          <w:szCs w:val="20"/>
          <w:lang w:val="it-IT"/>
        </w:rPr>
      </w:pPr>
      <w:r w:rsidRPr="00CC3FFF">
        <w:rPr>
          <w:rFonts w:ascii="Times New Roman" w:hAnsi="Times New Roman" w:cs="Times New Roman"/>
          <w:bCs/>
          <w:iCs/>
          <w:sz w:val="20"/>
          <w:szCs w:val="20"/>
          <w:vertAlign w:val="superscript"/>
          <w:lang w:val="it-IT"/>
        </w:rPr>
        <w:t>1</w:t>
      </w:r>
      <w:r w:rsidRPr="00CC3FFF">
        <w:rPr>
          <w:rFonts w:ascii="Times New Roman" w:hAnsi="Times New Roman" w:cs="Times New Roman"/>
          <w:bCs/>
          <w:iCs/>
          <w:sz w:val="20"/>
          <w:szCs w:val="20"/>
          <w:lang w:val="it-IT"/>
        </w:rPr>
        <w:t>Stem Sel srl, Bologna, Italy</w:t>
      </w:r>
    </w:p>
    <w:p w14:paraId="34D74C3A" w14:textId="1614F59F" w:rsidR="00766203" w:rsidRPr="00CC3FFF" w:rsidRDefault="00766203" w:rsidP="0076620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2</w:t>
      </w:r>
      <w:r w:rsidRPr="00CC3FFF">
        <w:rPr>
          <w:rFonts w:ascii="Times New Roman" w:hAnsi="Times New Roman" w:cs="Times New Roman"/>
          <w:bCs/>
          <w:iCs/>
          <w:sz w:val="20"/>
          <w:szCs w:val="20"/>
        </w:rPr>
        <w:t xml:space="preserve">Cellular Signalling Laboratory, Anatomy Center, </w:t>
      </w:r>
      <w:r w:rsidR="00AC5CDC">
        <w:rPr>
          <w:rFonts w:ascii="Times New Roman" w:hAnsi="Times New Roman" w:cs="Times New Roman"/>
          <w:bCs/>
          <w:iCs/>
          <w:sz w:val="20"/>
          <w:szCs w:val="20"/>
        </w:rPr>
        <w:t>Department</w:t>
      </w:r>
      <w:r w:rsidRPr="00CC3FFF">
        <w:rPr>
          <w:rFonts w:ascii="Times New Roman" w:hAnsi="Times New Roman" w:cs="Times New Roman"/>
          <w:bCs/>
          <w:iCs/>
          <w:sz w:val="20"/>
          <w:szCs w:val="20"/>
        </w:rPr>
        <w:t xml:space="preserve"> of Biomedical and Neuromotor Sciences (DIBINEM), University of Bologna, Bologna, Italy</w:t>
      </w:r>
    </w:p>
    <w:p w14:paraId="42942749" w14:textId="25997D6C" w:rsidR="00766203" w:rsidRPr="00CC3FFF" w:rsidRDefault="00766203" w:rsidP="0076620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3</w:t>
      </w:r>
      <w:r w:rsidRPr="00CC3FFF">
        <w:rPr>
          <w:rFonts w:ascii="Times New Roman" w:hAnsi="Times New Roman" w:cs="Times New Roman"/>
          <w:bCs/>
          <w:iCs/>
          <w:sz w:val="20"/>
          <w:szCs w:val="20"/>
        </w:rPr>
        <w:t>Dep</w:t>
      </w:r>
      <w:r w:rsidR="0085418C"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Biomolecular Sciences, University of Urbino, Urbino, Italy.</w:t>
      </w:r>
    </w:p>
    <w:p w14:paraId="48B3E9AB" w14:textId="41C3B4C4" w:rsidR="00766203" w:rsidRPr="00CC3FFF" w:rsidRDefault="00766203" w:rsidP="00766203">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4</w:t>
      </w:r>
      <w:r w:rsidRPr="00CC3FFF">
        <w:rPr>
          <w:rFonts w:ascii="Times New Roman" w:hAnsi="Times New Roman" w:cs="Times New Roman"/>
          <w:bCs/>
          <w:iCs/>
          <w:sz w:val="20"/>
          <w:szCs w:val="20"/>
        </w:rPr>
        <w:t>Dep</w:t>
      </w:r>
      <w:r w:rsidR="0085418C" w:rsidRPr="00CC3FFF">
        <w:rPr>
          <w:rFonts w:ascii="Times New Roman" w:hAnsi="Times New Roman" w:cs="Times New Roman"/>
          <w:bCs/>
          <w:iCs/>
          <w:sz w:val="20"/>
          <w:szCs w:val="20"/>
        </w:rPr>
        <w:t>artmen</w:t>
      </w:r>
      <w:r w:rsidRPr="00CC3FFF">
        <w:rPr>
          <w:rFonts w:ascii="Times New Roman" w:hAnsi="Times New Roman" w:cs="Times New Roman"/>
          <w:bCs/>
          <w:iCs/>
          <w:sz w:val="20"/>
          <w:szCs w:val="20"/>
        </w:rPr>
        <w:t>t of Chemistry “Giacomo Ciamician”, University of Bologna, Bologna, Italy</w:t>
      </w:r>
    </w:p>
    <w:p w14:paraId="7BA0C450" w14:textId="77777777" w:rsidR="0085418C" w:rsidRPr="00CC3FFF" w:rsidRDefault="00766203" w:rsidP="0085418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vertAlign w:val="superscript"/>
        </w:rPr>
        <w:t>*</w:t>
      </w:r>
      <w:r w:rsidRPr="00CC3FFF">
        <w:rPr>
          <w:rFonts w:ascii="Times New Roman" w:hAnsi="Times New Roman" w:cs="Times New Roman"/>
          <w:bCs/>
          <w:iCs/>
          <w:sz w:val="20"/>
          <w:szCs w:val="20"/>
        </w:rPr>
        <w:t>Equal contribution</w:t>
      </w:r>
    </w:p>
    <w:p w14:paraId="3DE0D0DD" w14:textId="77777777" w:rsidR="0085418C" w:rsidRPr="00CC3FFF" w:rsidRDefault="0085418C" w:rsidP="0085418C">
      <w:pPr>
        <w:adjustRightInd w:val="0"/>
        <w:snapToGrid w:val="0"/>
        <w:spacing w:line="260" w:lineRule="atLeast"/>
        <w:rPr>
          <w:rFonts w:ascii="Times New Roman" w:hAnsi="Times New Roman" w:cs="Times New Roman"/>
          <w:bCs/>
          <w:iCs/>
          <w:sz w:val="20"/>
          <w:szCs w:val="20"/>
        </w:rPr>
      </w:pPr>
    </w:p>
    <w:p w14:paraId="426DC14C" w14:textId="77777777" w:rsidR="0085418C" w:rsidRPr="00CC3FFF" w:rsidRDefault="0085418C" w:rsidP="0085418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OBJECTIVE: </w:t>
      </w:r>
      <w:r w:rsidR="00766203" w:rsidRPr="00CC3FFF">
        <w:rPr>
          <w:rFonts w:ascii="Times New Roman" w:hAnsi="Times New Roman" w:cs="Times New Roman"/>
          <w:bCs/>
          <w:iCs/>
          <w:sz w:val="20"/>
          <w:szCs w:val="20"/>
        </w:rPr>
        <w:t>Mesenchymal stem cells (MSCs) from fetal membranes (FM-MSCs) represent promising ATMP candidates due to their regenerative and immunomodulatory properties. However, their clinical translation is hindered by cellular heterogeneity, donor variability, and lack of standardised quality control (QC) for freshly isolated cells.</w:t>
      </w:r>
    </w:p>
    <w:p w14:paraId="3685F74D" w14:textId="54D6FCF2" w:rsidR="0085418C" w:rsidRPr="00CC3FFF" w:rsidRDefault="0085418C" w:rsidP="0085418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MATERIAL</w:t>
      </w:r>
      <w:r w:rsidR="006D3B3B">
        <w:rPr>
          <w:rFonts w:ascii="Times New Roman" w:hAnsi="Times New Roman" w:cs="Times New Roman"/>
          <w:bCs/>
          <w:iCs/>
          <w:sz w:val="20"/>
          <w:szCs w:val="20"/>
        </w:rPr>
        <w:t>S</w:t>
      </w:r>
      <w:r w:rsidRPr="00CC3FFF">
        <w:rPr>
          <w:rFonts w:ascii="Times New Roman" w:hAnsi="Times New Roman" w:cs="Times New Roman"/>
          <w:bCs/>
          <w:iCs/>
          <w:sz w:val="20"/>
          <w:szCs w:val="20"/>
        </w:rPr>
        <w:t xml:space="preserve"> AND METHODS: </w:t>
      </w:r>
      <w:r w:rsidR="00766203" w:rsidRPr="00CC3FFF">
        <w:rPr>
          <w:rFonts w:ascii="Times New Roman" w:hAnsi="Times New Roman" w:cs="Times New Roman"/>
          <w:bCs/>
          <w:iCs/>
          <w:sz w:val="20"/>
          <w:szCs w:val="20"/>
        </w:rPr>
        <w:t>We employed the Celector system, based on patented NEEGA-DF technology in dual-mode operation, for label-free analysis and sorting of FM-MSCs based on size, density, and membrane complexity. This time-resolved macrofluidic system generates chromatograph profiles (fractograms) serving as QC readouts while enabling physical separation of subpopulations without a</w:t>
      </w:r>
      <w:r w:rsidRPr="00CC3FFF">
        <w:rPr>
          <w:rFonts w:ascii="Times New Roman" w:hAnsi="Times New Roman" w:cs="Times New Roman"/>
          <w:bCs/>
          <w:iCs/>
          <w:sz w:val="20"/>
          <w:szCs w:val="20"/>
        </w:rPr>
        <w:t>ltering native cell properties.</w:t>
      </w:r>
    </w:p>
    <w:p w14:paraId="1C3997E9" w14:textId="77777777" w:rsidR="0085418C" w:rsidRPr="00CC3FFF" w:rsidRDefault="0085418C" w:rsidP="0085418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RESULTS: </w:t>
      </w:r>
      <w:r w:rsidR="00766203" w:rsidRPr="00CC3FFF">
        <w:rPr>
          <w:rFonts w:ascii="Times New Roman" w:hAnsi="Times New Roman" w:cs="Times New Roman"/>
          <w:bCs/>
          <w:iCs/>
          <w:sz w:val="20"/>
          <w:szCs w:val="20"/>
        </w:rPr>
        <w:t xml:space="preserve">Freshly isolated FM-MSCs were analyzed and fractionated into three eluting populations: F1 (1:30-3:00 min; dead cells/debris/aggregates), F2 (3:00-4:45 min; mixed), and F3 (4:45-13:00 min; single cells). Celector QC identified poor-quality samples (cells eluting &lt;4 min) with low adhesion and culture failure, achieving 45% isolation success prediction. </w:t>
      </w:r>
      <w:r w:rsidR="00766203" w:rsidRPr="00CC3FFF">
        <w:rPr>
          <w:rFonts w:ascii="Times New Roman" w:hAnsi="Times New Roman" w:cs="Times New Roman" w:hint="eastAsia"/>
          <w:bCs/>
          <w:iCs/>
          <w:sz w:val="20"/>
          <w:szCs w:val="20"/>
        </w:rPr>
        <w:t xml:space="preserve">Immunofluorescence revealed F3 enrichment in mesenchymal identity: Vimentin+ cells increased (F1: 46% </w:t>
      </w:r>
      <w:r w:rsidR="00766203" w:rsidRPr="00CC3FFF">
        <w:rPr>
          <w:rFonts w:ascii="Times New Roman" w:hAnsi="Times New Roman" w:cs="Times New Roman" w:hint="eastAsia"/>
          <w:bCs/>
          <w:iCs/>
          <w:sz w:val="20"/>
          <w:szCs w:val="20"/>
        </w:rPr>
        <w:t>→</w:t>
      </w:r>
      <w:r w:rsidR="00766203" w:rsidRPr="00CC3FFF">
        <w:rPr>
          <w:rFonts w:ascii="Times New Roman" w:hAnsi="Times New Roman" w:cs="Times New Roman" w:hint="eastAsia"/>
          <w:bCs/>
          <w:iCs/>
          <w:sz w:val="20"/>
          <w:szCs w:val="20"/>
        </w:rPr>
        <w:t xml:space="preserve"> F3: 83%), while epithelial Pan-</w:t>
      </w:r>
      <w:r w:rsidR="00766203" w:rsidRPr="00CC3FFF">
        <w:rPr>
          <w:rFonts w:ascii="Times New Roman" w:hAnsi="Times New Roman" w:cs="Times New Roman" w:hint="eastAsia"/>
          <w:bCs/>
          <w:iCs/>
          <w:sz w:val="20"/>
          <w:szCs w:val="20"/>
        </w:rPr>
        <w:lastRenderedPageBreak/>
        <w:t xml:space="preserve">Cytokeratin+ cells decreased (F1: 47% </w:t>
      </w:r>
      <w:r w:rsidR="00766203" w:rsidRPr="00CC3FFF">
        <w:rPr>
          <w:rFonts w:ascii="Times New Roman" w:hAnsi="Times New Roman" w:cs="Times New Roman" w:hint="eastAsia"/>
          <w:bCs/>
          <w:iCs/>
          <w:sz w:val="20"/>
          <w:szCs w:val="20"/>
        </w:rPr>
        <w:t>→</w:t>
      </w:r>
      <w:r w:rsidR="00766203" w:rsidRPr="00CC3FFF">
        <w:rPr>
          <w:rFonts w:ascii="Times New Roman" w:hAnsi="Times New Roman" w:cs="Times New Roman" w:hint="eastAsia"/>
          <w:bCs/>
          <w:iCs/>
          <w:sz w:val="20"/>
          <w:szCs w:val="20"/>
        </w:rPr>
        <w:t xml:space="preserve"> F3: 31%). Classical MSC markers showed universal CD73 expression (100%) across fr</w:t>
      </w:r>
      <w:r w:rsidR="00766203" w:rsidRPr="00CC3FFF">
        <w:rPr>
          <w:rFonts w:ascii="Times New Roman" w:hAnsi="Times New Roman" w:cs="Times New Roman"/>
          <w:bCs/>
          <w:iCs/>
          <w:sz w:val="20"/>
          <w:szCs w:val="20"/>
        </w:rPr>
        <w:t xml:space="preserve">actions, with donor-specific </w:t>
      </w:r>
      <w:r w:rsidR="00766203" w:rsidRPr="00CC3FFF">
        <w:rPr>
          <w:rFonts w:ascii="Times New Roman" w:hAnsi="Times New Roman" w:cs="Times New Roman" w:hint="eastAsia"/>
          <w:bCs/>
          <w:iCs/>
          <w:sz w:val="20"/>
          <w:szCs w:val="20"/>
        </w:rPr>
        <w:t>variation CD44/CD34/SSEA4. Notably, CD90 expression varied: one donor showed F1</w:t>
      </w:r>
      <w:r w:rsidR="00766203" w:rsidRPr="00CC3FFF">
        <w:rPr>
          <w:rFonts w:ascii="Times New Roman" w:hAnsi="Times New Roman" w:cs="Times New Roman" w:hint="eastAsia"/>
          <w:bCs/>
          <w:iCs/>
          <w:sz w:val="20"/>
          <w:szCs w:val="20"/>
        </w:rPr>
        <w:t>→</w:t>
      </w:r>
      <w:r w:rsidR="00766203" w:rsidRPr="00CC3FFF">
        <w:rPr>
          <w:rFonts w:ascii="Times New Roman" w:hAnsi="Times New Roman" w:cs="Times New Roman" w:hint="eastAsia"/>
          <w:bCs/>
          <w:iCs/>
          <w:sz w:val="20"/>
          <w:szCs w:val="20"/>
        </w:rPr>
        <w:t>F3 enrichment (55</w:t>
      </w:r>
      <w:r w:rsidR="00766203" w:rsidRPr="00CC3FFF">
        <w:rPr>
          <w:rFonts w:ascii="Times New Roman" w:hAnsi="Times New Roman" w:cs="Times New Roman" w:hint="eastAsia"/>
          <w:bCs/>
          <w:iCs/>
          <w:sz w:val="20"/>
          <w:szCs w:val="20"/>
        </w:rPr>
        <w:t>→</w:t>
      </w:r>
      <w:r w:rsidR="00766203" w:rsidRPr="00CC3FFF">
        <w:rPr>
          <w:rFonts w:ascii="Times New Roman" w:hAnsi="Times New Roman" w:cs="Times New Roman" w:hint="eastAsia"/>
          <w:bCs/>
          <w:iCs/>
          <w:sz w:val="20"/>
          <w:szCs w:val="20"/>
        </w:rPr>
        <w:t>100%), another F2&gt;F3 (80</w:t>
      </w:r>
      <w:r w:rsidR="00766203" w:rsidRPr="00CC3FFF">
        <w:rPr>
          <w:rFonts w:ascii="Times New Roman" w:hAnsi="Times New Roman" w:cs="Times New Roman" w:hint="eastAsia"/>
          <w:bCs/>
          <w:iCs/>
          <w:sz w:val="20"/>
          <w:szCs w:val="20"/>
        </w:rPr>
        <w:t>→</w:t>
      </w:r>
      <w:r w:rsidR="00766203" w:rsidRPr="00CC3FFF">
        <w:rPr>
          <w:rFonts w:ascii="Times New Roman" w:hAnsi="Times New Roman" w:cs="Times New Roman" w:hint="eastAsia"/>
          <w:bCs/>
          <w:iCs/>
          <w:sz w:val="20"/>
          <w:szCs w:val="20"/>
        </w:rPr>
        <w:t>56%), revealing sample-specific mesenchymal maturation patterns.</w:t>
      </w:r>
      <w:r w:rsidR="00766203" w:rsidRPr="00CC3FFF">
        <w:rPr>
          <w:rFonts w:ascii="Times New Roman" w:hAnsi="Times New Roman" w:cs="Times New Roman"/>
          <w:bCs/>
          <w:iCs/>
          <w:sz w:val="20"/>
          <w:szCs w:val="20"/>
        </w:rPr>
        <w:t xml:space="preserve"> Proliferation assessment (Ki67, p1) confirmed F3 superiority (25% vs ~5% in F1/F2), correlating with culture success. During culture expansion, epithelial cells were selectively lost in early passages, yielding mesenchymal-pure populations. Celector provides rapid QC for FM-MSC production, predicting culture outcomes and enabling label-free enrichment of subpopulations. F3 fractions yield mesenchymal-pure, proliferative cells s</w:t>
      </w:r>
      <w:r w:rsidRPr="00CC3FFF">
        <w:rPr>
          <w:rFonts w:ascii="Times New Roman" w:hAnsi="Times New Roman" w:cs="Times New Roman"/>
          <w:bCs/>
          <w:iCs/>
          <w:sz w:val="20"/>
          <w:szCs w:val="20"/>
        </w:rPr>
        <w:t>uitable for ATMP manufacturing.</w:t>
      </w:r>
    </w:p>
    <w:p w14:paraId="1E10CACC" w14:textId="5FEB83CB" w:rsidR="00766203" w:rsidRPr="00CC3FFF" w:rsidRDefault="0085418C" w:rsidP="0085418C">
      <w:pPr>
        <w:adjustRightInd w:val="0"/>
        <w:snapToGrid w:val="0"/>
        <w:spacing w:line="260" w:lineRule="atLeast"/>
        <w:rPr>
          <w:rFonts w:ascii="Times New Roman" w:hAnsi="Times New Roman" w:cs="Times New Roman"/>
          <w:bCs/>
          <w:iCs/>
          <w:sz w:val="20"/>
          <w:szCs w:val="20"/>
        </w:rPr>
      </w:pPr>
      <w:r w:rsidRPr="00CC3FFF">
        <w:rPr>
          <w:rFonts w:ascii="Times New Roman" w:hAnsi="Times New Roman" w:cs="Times New Roman"/>
          <w:bCs/>
          <w:iCs/>
          <w:sz w:val="20"/>
          <w:szCs w:val="20"/>
        </w:rPr>
        <w:t xml:space="preserve">CONCLUSIONS: </w:t>
      </w:r>
      <w:r w:rsidR="00766203" w:rsidRPr="00CC3FFF">
        <w:rPr>
          <w:rFonts w:ascii="Times New Roman" w:hAnsi="Times New Roman" w:cs="Times New Roman"/>
          <w:bCs/>
          <w:iCs/>
          <w:sz w:val="20"/>
          <w:szCs w:val="20"/>
        </w:rPr>
        <w:t>Donor heterogeneity underscores the need for personalized QC, with Celector addressing this critical bottleneck in clinical-grade FM-MSC production.</w:t>
      </w:r>
    </w:p>
    <w:sectPr w:rsidR="00766203" w:rsidRPr="00CC3FFF" w:rsidSect="00AA5157">
      <w:footerReference w:type="default" r:id="rId9"/>
      <w:footerReference w:type="first" r:id="rId10"/>
      <w:pgSz w:w="11850" w:h="16783"/>
      <w:pgMar w:top="1417" w:right="1701" w:bottom="1417" w:left="1701"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99A76" w14:textId="77777777" w:rsidR="005C0B02" w:rsidRDefault="005C0B02">
      <w:r>
        <w:separator/>
      </w:r>
    </w:p>
  </w:endnote>
  <w:endnote w:type="continuationSeparator" w:id="0">
    <w:p w14:paraId="53630990" w14:textId="77777777" w:rsidR="005C0B02" w:rsidRDefault="005C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5305117"/>
      <w:docPartObj>
        <w:docPartGallery w:val="Page Numbers (Bottom of Page)"/>
        <w:docPartUnique/>
      </w:docPartObj>
    </w:sdtPr>
    <w:sdtEndPr/>
    <w:sdtContent>
      <w:p w14:paraId="65A3835A" w14:textId="76F16A0C" w:rsidR="005C0B02" w:rsidRDefault="005C0B02">
        <w:pPr>
          <w:pStyle w:val="a7"/>
          <w:jc w:val="right"/>
        </w:pPr>
        <w:r>
          <w:fldChar w:fldCharType="begin"/>
        </w:r>
        <w:r>
          <w:instrText>PAGE   \* MERGEFORMAT</w:instrText>
        </w:r>
        <w:r>
          <w:fldChar w:fldCharType="separate"/>
        </w:r>
        <w:r w:rsidR="00216ECA" w:rsidRPr="00216ECA">
          <w:rPr>
            <w:noProof/>
            <w:lang w:val="it-IT"/>
          </w:rPr>
          <w:t>3</w:t>
        </w:r>
        <w:r>
          <w:fldChar w:fldCharType="end"/>
        </w:r>
      </w:p>
    </w:sdtContent>
  </w:sdt>
  <w:p w14:paraId="4A19B78A" w14:textId="77777777" w:rsidR="005C0B02" w:rsidRDefault="005C0B02">
    <w:pPr>
      <w:adjustRightInd w:val="0"/>
      <w:snapToGrid w:val="0"/>
      <w:spacing w:before="240" w:line="260" w:lineRule="atLeast"/>
      <w:rPr>
        <w:rFonts w:ascii="Palatino Linotype" w:hAnsi="Palatino Linotype"/>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8276720"/>
      <w:docPartObj>
        <w:docPartGallery w:val="Page Numbers (Bottom of Page)"/>
        <w:docPartUnique/>
      </w:docPartObj>
    </w:sdtPr>
    <w:sdtEndPr/>
    <w:sdtContent>
      <w:p w14:paraId="19122147" w14:textId="29555658" w:rsidR="005C0B02" w:rsidRDefault="005C0B02">
        <w:pPr>
          <w:pStyle w:val="a7"/>
          <w:jc w:val="right"/>
        </w:pPr>
        <w:r>
          <w:fldChar w:fldCharType="begin"/>
        </w:r>
        <w:r>
          <w:instrText>PAGE   \* MERGEFORMAT</w:instrText>
        </w:r>
        <w:r>
          <w:fldChar w:fldCharType="separate"/>
        </w:r>
        <w:r w:rsidR="00216ECA" w:rsidRPr="00216ECA">
          <w:rPr>
            <w:noProof/>
            <w:lang w:val="it-IT"/>
          </w:rPr>
          <w:t>1</w:t>
        </w:r>
        <w:r>
          <w:fldChar w:fldCharType="end"/>
        </w:r>
      </w:p>
    </w:sdtContent>
  </w:sdt>
  <w:p w14:paraId="563FB519" w14:textId="77777777" w:rsidR="005C0B02" w:rsidRDefault="005C0B02">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5CD34" w14:textId="77777777" w:rsidR="005C0B02" w:rsidRDefault="005C0B02">
      <w:r>
        <w:separator/>
      </w:r>
    </w:p>
  </w:footnote>
  <w:footnote w:type="continuationSeparator" w:id="0">
    <w:p w14:paraId="2703E967" w14:textId="77777777" w:rsidR="005C0B02" w:rsidRDefault="005C0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99E9"/>
    <w:multiLevelType w:val="singleLevel"/>
    <w:tmpl w:val="1A2C99E9"/>
    <w:lvl w:ilvl="0">
      <w:start w:val="1"/>
      <w:numFmt w:val="bullet"/>
      <w:lvlText w:val=""/>
      <w:lvlJc w:val="left"/>
      <w:pPr>
        <w:ind w:left="420" w:hanging="420"/>
      </w:pPr>
      <w:rPr>
        <w:rFonts w:ascii="Wingdings" w:hAnsi="Wingdings" w:hint="default"/>
      </w:rPr>
    </w:lvl>
  </w:abstractNum>
  <w:abstractNum w:abstractNumId="1" w15:restartNumberingAfterBreak="0">
    <w:nsid w:val="250A245F"/>
    <w:multiLevelType w:val="multilevel"/>
    <w:tmpl w:val="250A245F"/>
    <w:lvl w:ilvl="0">
      <w:start w:val="1"/>
      <w:numFmt w:val="decimal"/>
      <w:pStyle w:val="MDPI71References"/>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A712ADF"/>
    <w:multiLevelType w:val="singleLevel"/>
    <w:tmpl w:val="5A712ADF"/>
    <w:lvl w:ilvl="0">
      <w:start w:val="1"/>
      <w:numFmt w:val="bullet"/>
      <w:lvlText w:val=""/>
      <w:lvlJc w:val="left"/>
      <w:pPr>
        <w:ind w:left="42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defaultTabStop w:val="420"/>
  <w:hyphenationZone w:val="283"/>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ZkNzQ4ZWFiZmQ4NTRhOWRkZTk3YTMwMjlmMmZhYmUifQ=="/>
  </w:docVars>
  <w:rsids>
    <w:rsidRoot w:val="00172A27"/>
    <w:rsid w:val="000001D2"/>
    <w:rsid w:val="000123E1"/>
    <w:rsid w:val="000178BA"/>
    <w:rsid w:val="000235C0"/>
    <w:rsid w:val="000247B4"/>
    <w:rsid w:val="000253F9"/>
    <w:rsid w:val="00030B75"/>
    <w:rsid w:val="0003284A"/>
    <w:rsid w:val="000328DC"/>
    <w:rsid w:val="00041720"/>
    <w:rsid w:val="00070AE7"/>
    <w:rsid w:val="00071748"/>
    <w:rsid w:val="00077C0F"/>
    <w:rsid w:val="000970F4"/>
    <w:rsid w:val="000B4E5A"/>
    <w:rsid w:val="000C1E68"/>
    <w:rsid w:val="000C5A46"/>
    <w:rsid w:val="000D33EB"/>
    <w:rsid w:val="000D4CA6"/>
    <w:rsid w:val="000D5EBD"/>
    <w:rsid w:val="000D6C25"/>
    <w:rsid w:val="000E3DA3"/>
    <w:rsid w:val="000F5915"/>
    <w:rsid w:val="0011319C"/>
    <w:rsid w:val="001200A5"/>
    <w:rsid w:val="00120F1C"/>
    <w:rsid w:val="00134AF7"/>
    <w:rsid w:val="001359F6"/>
    <w:rsid w:val="00150718"/>
    <w:rsid w:val="00157E66"/>
    <w:rsid w:val="001604DA"/>
    <w:rsid w:val="00172A27"/>
    <w:rsid w:val="00174101"/>
    <w:rsid w:val="00176E7D"/>
    <w:rsid w:val="00185909"/>
    <w:rsid w:val="00192ABF"/>
    <w:rsid w:val="0019510B"/>
    <w:rsid w:val="00195717"/>
    <w:rsid w:val="001A4F92"/>
    <w:rsid w:val="001B674C"/>
    <w:rsid w:val="001C1A59"/>
    <w:rsid w:val="001C47C5"/>
    <w:rsid w:val="001D70DB"/>
    <w:rsid w:val="001D7789"/>
    <w:rsid w:val="001E0BD8"/>
    <w:rsid w:val="001E382D"/>
    <w:rsid w:val="001E5E0A"/>
    <w:rsid w:val="00216ECA"/>
    <w:rsid w:val="00222F17"/>
    <w:rsid w:val="00260D7D"/>
    <w:rsid w:val="00261743"/>
    <w:rsid w:val="00262E05"/>
    <w:rsid w:val="00265FCD"/>
    <w:rsid w:val="0027022E"/>
    <w:rsid w:val="002722D2"/>
    <w:rsid w:val="00273491"/>
    <w:rsid w:val="00276498"/>
    <w:rsid w:val="00276C8E"/>
    <w:rsid w:val="002939F4"/>
    <w:rsid w:val="002B1E90"/>
    <w:rsid w:val="002C1A50"/>
    <w:rsid w:val="002D706D"/>
    <w:rsid w:val="002F3D70"/>
    <w:rsid w:val="00311421"/>
    <w:rsid w:val="0031289A"/>
    <w:rsid w:val="00331E76"/>
    <w:rsid w:val="003424B8"/>
    <w:rsid w:val="003445FB"/>
    <w:rsid w:val="00351228"/>
    <w:rsid w:val="003570D5"/>
    <w:rsid w:val="003608FF"/>
    <w:rsid w:val="003735F4"/>
    <w:rsid w:val="003A2080"/>
    <w:rsid w:val="003B627D"/>
    <w:rsid w:val="003E5707"/>
    <w:rsid w:val="003F050B"/>
    <w:rsid w:val="00406C17"/>
    <w:rsid w:val="00415D65"/>
    <w:rsid w:val="00423880"/>
    <w:rsid w:val="004307AA"/>
    <w:rsid w:val="00435602"/>
    <w:rsid w:val="00436667"/>
    <w:rsid w:val="00452BA5"/>
    <w:rsid w:val="004572A6"/>
    <w:rsid w:val="00483A41"/>
    <w:rsid w:val="004864CD"/>
    <w:rsid w:val="00497675"/>
    <w:rsid w:val="004A3432"/>
    <w:rsid w:val="004B6128"/>
    <w:rsid w:val="004B70DE"/>
    <w:rsid w:val="004D13F9"/>
    <w:rsid w:val="004D1535"/>
    <w:rsid w:val="004D44EE"/>
    <w:rsid w:val="004E63EA"/>
    <w:rsid w:val="004F1FC2"/>
    <w:rsid w:val="004F52CE"/>
    <w:rsid w:val="005063D1"/>
    <w:rsid w:val="00506454"/>
    <w:rsid w:val="005112CC"/>
    <w:rsid w:val="00524F24"/>
    <w:rsid w:val="00531858"/>
    <w:rsid w:val="00531D8E"/>
    <w:rsid w:val="00541CAC"/>
    <w:rsid w:val="005473F4"/>
    <w:rsid w:val="00547DCD"/>
    <w:rsid w:val="0055088A"/>
    <w:rsid w:val="005570D9"/>
    <w:rsid w:val="005843CE"/>
    <w:rsid w:val="0058482D"/>
    <w:rsid w:val="00586563"/>
    <w:rsid w:val="005A4315"/>
    <w:rsid w:val="005C0B02"/>
    <w:rsid w:val="005C78EE"/>
    <w:rsid w:val="005D2569"/>
    <w:rsid w:val="005D7278"/>
    <w:rsid w:val="005E153B"/>
    <w:rsid w:val="005E1768"/>
    <w:rsid w:val="005F2787"/>
    <w:rsid w:val="00600D4A"/>
    <w:rsid w:val="00600E36"/>
    <w:rsid w:val="0060193B"/>
    <w:rsid w:val="00607435"/>
    <w:rsid w:val="00614D70"/>
    <w:rsid w:val="00624A12"/>
    <w:rsid w:val="00625018"/>
    <w:rsid w:val="00631D61"/>
    <w:rsid w:val="00637595"/>
    <w:rsid w:val="006408CE"/>
    <w:rsid w:val="00646105"/>
    <w:rsid w:val="006539A9"/>
    <w:rsid w:val="00666546"/>
    <w:rsid w:val="0069121A"/>
    <w:rsid w:val="00695AC2"/>
    <w:rsid w:val="006979C3"/>
    <w:rsid w:val="006A512D"/>
    <w:rsid w:val="006A7A6A"/>
    <w:rsid w:val="006B6F79"/>
    <w:rsid w:val="006C3C83"/>
    <w:rsid w:val="006C4A2B"/>
    <w:rsid w:val="006C5C61"/>
    <w:rsid w:val="006D3744"/>
    <w:rsid w:val="006D3B3B"/>
    <w:rsid w:val="006E39D2"/>
    <w:rsid w:val="007014B7"/>
    <w:rsid w:val="0070341D"/>
    <w:rsid w:val="007137CA"/>
    <w:rsid w:val="00714616"/>
    <w:rsid w:val="0072796D"/>
    <w:rsid w:val="00736E2B"/>
    <w:rsid w:val="0074339A"/>
    <w:rsid w:val="007459EB"/>
    <w:rsid w:val="0075260E"/>
    <w:rsid w:val="00762A2C"/>
    <w:rsid w:val="00766203"/>
    <w:rsid w:val="0077048F"/>
    <w:rsid w:val="00772D55"/>
    <w:rsid w:val="00775A6F"/>
    <w:rsid w:val="00793FAB"/>
    <w:rsid w:val="0079509A"/>
    <w:rsid w:val="007C1D82"/>
    <w:rsid w:val="007C55B4"/>
    <w:rsid w:val="007C5E9F"/>
    <w:rsid w:val="007D1FD5"/>
    <w:rsid w:val="007D3CFB"/>
    <w:rsid w:val="00801DF4"/>
    <w:rsid w:val="0080399A"/>
    <w:rsid w:val="00804B3C"/>
    <w:rsid w:val="008075EB"/>
    <w:rsid w:val="00810CDE"/>
    <w:rsid w:val="00823FD0"/>
    <w:rsid w:val="008275E7"/>
    <w:rsid w:val="00842C21"/>
    <w:rsid w:val="0085418C"/>
    <w:rsid w:val="00856A0D"/>
    <w:rsid w:val="008573D4"/>
    <w:rsid w:val="00867335"/>
    <w:rsid w:val="00877D78"/>
    <w:rsid w:val="008969C1"/>
    <w:rsid w:val="008A495C"/>
    <w:rsid w:val="008B07A4"/>
    <w:rsid w:val="008D773A"/>
    <w:rsid w:val="008E37A7"/>
    <w:rsid w:val="008F55F0"/>
    <w:rsid w:val="008F5C78"/>
    <w:rsid w:val="0090055F"/>
    <w:rsid w:val="00914F5F"/>
    <w:rsid w:val="00921419"/>
    <w:rsid w:val="00927A01"/>
    <w:rsid w:val="0094778F"/>
    <w:rsid w:val="00972FB6"/>
    <w:rsid w:val="00975822"/>
    <w:rsid w:val="0099191E"/>
    <w:rsid w:val="009B1064"/>
    <w:rsid w:val="009B651A"/>
    <w:rsid w:val="009C2C61"/>
    <w:rsid w:val="009C617C"/>
    <w:rsid w:val="009D54CF"/>
    <w:rsid w:val="009E2372"/>
    <w:rsid w:val="009F23CC"/>
    <w:rsid w:val="00A058B1"/>
    <w:rsid w:val="00A20C26"/>
    <w:rsid w:val="00A22007"/>
    <w:rsid w:val="00A30A14"/>
    <w:rsid w:val="00A37A37"/>
    <w:rsid w:val="00A46B67"/>
    <w:rsid w:val="00A53E80"/>
    <w:rsid w:val="00A54B27"/>
    <w:rsid w:val="00A569F4"/>
    <w:rsid w:val="00A75079"/>
    <w:rsid w:val="00A8433D"/>
    <w:rsid w:val="00A96E70"/>
    <w:rsid w:val="00AA4433"/>
    <w:rsid w:val="00AA5157"/>
    <w:rsid w:val="00AB13C5"/>
    <w:rsid w:val="00AB1A7E"/>
    <w:rsid w:val="00AB20BA"/>
    <w:rsid w:val="00AB3025"/>
    <w:rsid w:val="00AC1E8C"/>
    <w:rsid w:val="00AC5CDC"/>
    <w:rsid w:val="00AD058E"/>
    <w:rsid w:val="00B059F7"/>
    <w:rsid w:val="00B076A0"/>
    <w:rsid w:val="00B123FF"/>
    <w:rsid w:val="00B13DC1"/>
    <w:rsid w:val="00B145D3"/>
    <w:rsid w:val="00B15A47"/>
    <w:rsid w:val="00B23ECB"/>
    <w:rsid w:val="00B26CFE"/>
    <w:rsid w:val="00B4120C"/>
    <w:rsid w:val="00B42AC5"/>
    <w:rsid w:val="00B45E42"/>
    <w:rsid w:val="00B730D2"/>
    <w:rsid w:val="00B74EF5"/>
    <w:rsid w:val="00B80FE9"/>
    <w:rsid w:val="00B81C2A"/>
    <w:rsid w:val="00BA6610"/>
    <w:rsid w:val="00BB3538"/>
    <w:rsid w:val="00BB3D1E"/>
    <w:rsid w:val="00BD077D"/>
    <w:rsid w:val="00BE57EB"/>
    <w:rsid w:val="00BF132F"/>
    <w:rsid w:val="00BF3D74"/>
    <w:rsid w:val="00BF6261"/>
    <w:rsid w:val="00C02E0A"/>
    <w:rsid w:val="00C04F5C"/>
    <w:rsid w:val="00C15BA3"/>
    <w:rsid w:val="00C31F2C"/>
    <w:rsid w:val="00C355F4"/>
    <w:rsid w:val="00C431C6"/>
    <w:rsid w:val="00C47D81"/>
    <w:rsid w:val="00C5076C"/>
    <w:rsid w:val="00C6365E"/>
    <w:rsid w:val="00C73E2F"/>
    <w:rsid w:val="00C75821"/>
    <w:rsid w:val="00C8045F"/>
    <w:rsid w:val="00C8319D"/>
    <w:rsid w:val="00C93806"/>
    <w:rsid w:val="00CA2500"/>
    <w:rsid w:val="00CC19D1"/>
    <w:rsid w:val="00CC3FFF"/>
    <w:rsid w:val="00CC4BAD"/>
    <w:rsid w:val="00CF2887"/>
    <w:rsid w:val="00CF4F57"/>
    <w:rsid w:val="00D0232B"/>
    <w:rsid w:val="00D07F2E"/>
    <w:rsid w:val="00D16246"/>
    <w:rsid w:val="00D169D5"/>
    <w:rsid w:val="00D369BF"/>
    <w:rsid w:val="00D42B12"/>
    <w:rsid w:val="00D55AB2"/>
    <w:rsid w:val="00D65F6F"/>
    <w:rsid w:val="00D74068"/>
    <w:rsid w:val="00D75688"/>
    <w:rsid w:val="00DB5DCB"/>
    <w:rsid w:val="00DC278D"/>
    <w:rsid w:val="00DF5C43"/>
    <w:rsid w:val="00E03818"/>
    <w:rsid w:val="00E10F3E"/>
    <w:rsid w:val="00E15D0A"/>
    <w:rsid w:val="00E204C6"/>
    <w:rsid w:val="00E258F5"/>
    <w:rsid w:val="00E25934"/>
    <w:rsid w:val="00E31605"/>
    <w:rsid w:val="00E31F71"/>
    <w:rsid w:val="00E40C71"/>
    <w:rsid w:val="00E54AF4"/>
    <w:rsid w:val="00E70AA7"/>
    <w:rsid w:val="00E7469A"/>
    <w:rsid w:val="00E953A2"/>
    <w:rsid w:val="00EA21CF"/>
    <w:rsid w:val="00EA68A1"/>
    <w:rsid w:val="00EA75BE"/>
    <w:rsid w:val="00EB0D23"/>
    <w:rsid w:val="00EB0DFD"/>
    <w:rsid w:val="00EB7ABC"/>
    <w:rsid w:val="00EC387F"/>
    <w:rsid w:val="00EE548B"/>
    <w:rsid w:val="00EE5F9C"/>
    <w:rsid w:val="00EF3BA1"/>
    <w:rsid w:val="00EF4EFE"/>
    <w:rsid w:val="00F016D4"/>
    <w:rsid w:val="00F118E8"/>
    <w:rsid w:val="00F309FA"/>
    <w:rsid w:val="00F35CD7"/>
    <w:rsid w:val="00F37CB8"/>
    <w:rsid w:val="00F450E6"/>
    <w:rsid w:val="00F47512"/>
    <w:rsid w:val="00F53368"/>
    <w:rsid w:val="00F567AC"/>
    <w:rsid w:val="00F74FAC"/>
    <w:rsid w:val="00F845C8"/>
    <w:rsid w:val="00F9184A"/>
    <w:rsid w:val="00F92592"/>
    <w:rsid w:val="00FA3CA6"/>
    <w:rsid w:val="00FA5B79"/>
    <w:rsid w:val="00FA6414"/>
    <w:rsid w:val="00FA66AC"/>
    <w:rsid w:val="00FC3225"/>
    <w:rsid w:val="00FC4246"/>
    <w:rsid w:val="0109259B"/>
    <w:rsid w:val="0109472D"/>
    <w:rsid w:val="011016B5"/>
    <w:rsid w:val="011D6D5F"/>
    <w:rsid w:val="011F3E8E"/>
    <w:rsid w:val="012E1FA3"/>
    <w:rsid w:val="012E3C09"/>
    <w:rsid w:val="013A63F4"/>
    <w:rsid w:val="013C10A0"/>
    <w:rsid w:val="01583790"/>
    <w:rsid w:val="01584775"/>
    <w:rsid w:val="01594B10"/>
    <w:rsid w:val="015F2D33"/>
    <w:rsid w:val="01601402"/>
    <w:rsid w:val="01645AF4"/>
    <w:rsid w:val="01651296"/>
    <w:rsid w:val="01681866"/>
    <w:rsid w:val="01684FA3"/>
    <w:rsid w:val="016E20C2"/>
    <w:rsid w:val="017C5BD8"/>
    <w:rsid w:val="017D0545"/>
    <w:rsid w:val="01872CA9"/>
    <w:rsid w:val="018A16BD"/>
    <w:rsid w:val="018F270C"/>
    <w:rsid w:val="01942AA8"/>
    <w:rsid w:val="0199458D"/>
    <w:rsid w:val="019B195C"/>
    <w:rsid w:val="01A12144"/>
    <w:rsid w:val="01A5110D"/>
    <w:rsid w:val="01A56B17"/>
    <w:rsid w:val="01AC566D"/>
    <w:rsid w:val="01B40BCA"/>
    <w:rsid w:val="01B70746"/>
    <w:rsid w:val="01C44B2E"/>
    <w:rsid w:val="01C56D73"/>
    <w:rsid w:val="01C701A9"/>
    <w:rsid w:val="01C95F88"/>
    <w:rsid w:val="01CC5151"/>
    <w:rsid w:val="01CF0145"/>
    <w:rsid w:val="01D53904"/>
    <w:rsid w:val="01DA0C57"/>
    <w:rsid w:val="01E7309B"/>
    <w:rsid w:val="01F57A38"/>
    <w:rsid w:val="0200754B"/>
    <w:rsid w:val="02007C85"/>
    <w:rsid w:val="0208649E"/>
    <w:rsid w:val="02166731"/>
    <w:rsid w:val="02175370"/>
    <w:rsid w:val="021E0530"/>
    <w:rsid w:val="02211A9E"/>
    <w:rsid w:val="022E6800"/>
    <w:rsid w:val="02304445"/>
    <w:rsid w:val="02363AC3"/>
    <w:rsid w:val="02367012"/>
    <w:rsid w:val="02531DEA"/>
    <w:rsid w:val="02676395"/>
    <w:rsid w:val="027E4A9F"/>
    <w:rsid w:val="028168BD"/>
    <w:rsid w:val="028828A6"/>
    <w:rsid w:val="02896039"/>
    <w:rsid w:val="028A65CA"/>
    <w:rsid w:val="029177D1"/>
    <w:rsid w:val="02945ED2"/>
    <w:rsid w:val="029A6340"/>
    <w:rsid w:val="02A4626F"/>
    <w:rsid w:val="02B706EB"/>
    <w:rsid w:val="02CA4838"/>
    <w:rsid w:val="02D835DC"/>
    <w:rsid w:val="02E960E9"/>
    <w:rsid w:val="02F66CCD"/>
    <w:rsid w:val="02F926DD"/>
    <w:rsid w:val="03036411"/>
    <w:rsid w:val="031B748E"/>
    <w:rsid w:val="031C41CA"/>
    <w:rsid w:val="032111B0"/>
    <w:rsid w:val="03216E4A"/>
    <w:rsid w:val="032B51DC"/>
    <w:rsid w:val="033A0B15"/>
    <w:rsid w:val="033C4C93"/>
    <w:rsid w:val="033C5CAB"/>
    <w:rsid w:val="033E7596"/>
    <w:rsid w:val="033F4D53"/>
    <w:rsid w:val="03437C23"/>
    <w:rsid w:val="03442CFD"/>
    <w:rsid w:val="034F6562"/>
    <w:rsid w:val="03570B81"/>
    <w:rsid w:val="035F5241"/>
    <w:rsid w:val="036742AA"/>
    <w:rsid w:val="036776C3"/>
    <w:rsid w:val="03684324"/>
    <w:rsid w:val="03702577"/>
    <w:rsid w:val="03723EE6"/>
    <w:rsid w:val="0377335A"/>
    <w:rsid w:val="037A42DE"/>
    <w:rsid w:val="037D0B20"/>
    <w:rsid w:val="03861D09"/>
    <w:rsid w:val="038E0B73"/>
    <w:rsid w:val="0392766F"/>
    <w:rsid w:val="03A11F71"/>
    <w:rsid w:val="03A26E77"/>
    <w:rsid w:val="03A64DD4"/>
    <w:rsid w:val="03A81C0D"/>
    <w:rsid w:val="03A85DBD"/>
    <w:rsid w:val="03AE4E4D"/>
    <w:rsid w:val="03B04935"/>
    <w:rsid w:val="03B071F8"/>
    <w:rsid w:val="03B40043"/>
    <w:rsid w:val="03B54A34"/>
    <w:rsid w:val="03B56379"/>
    <w:rsid w:val="03BE0A09"/>
    <w:rsid w:val="03C11E0E"/>
    <w:rsid w:val="03CF3A0D"/>
    <w:rsid w:val="03D358A5"/>
    <w:rsid w:val="03D72431"/>
    <w:rsid w:val="03DC23AA"/>
    <w:rsid w:val="03DC4F03"/>
    <w:rsid w:val="03DE23C0"/>
    <w:rsid w:val="03E15712"/>
    <w:rsid w:val="03E43DA5"/>
    <w:rsid w:val="03F04F96"/>
    <w:rsid w:val="03F77771"/>
    <w:rsid w:val="03FA48CD"/>
    <w:rsid w:val="03FB3C94"/>
    <w:rsid w:val="03FC26EF"/>
    <w:rsid w:val="03FD41BF"/>
    <w:rsid w:val="03FF16AA"/>
    <w:rsid w:val="04076163"/>
    <w:rsid w:val="04077F8B"/>
    <w:rsid w:val="04085768"/>
    <w:rsid w:val="04092561"/>
    <w:rsid w:val="041F7214"/>
    <w:rsid w:val="042F41AB"/>
    <w:rsid w:val="04315284"/>
    <w:rsid w:val="04330167"/>
    <w:rsid w:val="04366611"/>
    <w:rsid w:val="04380BF4"/>
    <w:rsid w:val="043F796D"/>
    <w:rsid w:val="04466ADE"/>
    <w:rsid w:val="044E225D"/>
    <w:rsid w:val="045A30D3"/>
    <w:rsid w:val="04695297"/>
    <w:rsid w:val="046A3DA7"/>
    <w:rsid w:val="046C4BA8"/>
    <w:rsid w:val="047A7041"/>
    <w:rsid w:val="047E285C"/>
    <w:rsid w:val="04821CB2"/>
    <w:rsid w:val="049069F6"/>
    <w:rsid w:val="04920305"/>
    <w:rsid w:val="049E6D7B"/>
    <w:rsid w:val="04A0767E"/>
    <w:rsid w:val="04A80B95"/>
    <w:rsid w:val="04B12AB2"/>
    <w:rsid w:val="04C97B49"/>
    <w:rsid w:val="04D53DD4"/>
    <w:rsid w:val="04D96222"/>
    <w:rsid w:val="04E56ABE"/>
    <w:rsid w:val="04FC5B64"/>
    <w:rsid w:val="05081FB3"/>
    <w:rsid w:val="050D6930"/>
    <w:rsid w:val="051165A6"/>
    <w:rsid w:val="052061CB"/>
    <w:rsid w:val="052E2E88"/>
    <w:rsid w:val="05387D97"/>
    <w:rsid w:val="05390773"/>
    <w:rsid w:val="053D1442"/>
    <w:rsid w:val="054027CB"/>
    <w:rsid w:val="05407BB9"/>
    <w:rsid w:val="05456B1B"/>
    <w:rsid w:val="054C5F73"/>
    <w:rsid w:val="05567167"/>
    <w:rsid w:val="055C55EE"/>
    <w:rsid w:val="056D2887"/>
    <w:rsid w:val="056F17F4"/>
    <w:rsid w:val="05717F4F"/>
    <w:rsid w:val="05741692"/>
    <w:rsid w:val="057D5ADF"/>
    <w:rsid w:val="05812160"/>
    <w:rsid w:val="05827941"/>
    <w:rsid w:val="058870C1"/>
    <w:rsid w:val="058911B7"/>
    <w:rsid w:val="058D229D"/>
    <w:rsid w:val="059206B8"/>
    <w:rsid w:val="059A12E4"/>
    <w:rsid w:val="059A427A"/>
    <w:rsid w:val="059D2E68"/>
    <w:rsid w:val="059F089D"/>
    <w:rsid w:val="05A152F2"/>
    <w:rsid w:val="05A41DB5"/>
    <w:rsid w:val="05A508AA"/>
    <w:rsid w:val="05AF6B40"/>
    <w:rsid w:val="05B5380E"/>
    <w:rsid w:val="05C05CFE"/>
    <w:rsid w:val="05CB5766"/>
    <w:rsid w:val="05D2674D"/>
    <w:rsid w:val="05D813C2"/>
    <w:rsid w:val="05E71501"/>
    <w:rsid w:val="05EF5832"/>
    <w:rsid w:val="05F61429"/>
    <w:rsid w:val="05F72227"/>
    <w:rsid w:val="05F97DB8"/>
    <w:rsid w:val="060B600F"/>
    <w:rsid w:val="06104975"/>
    <w:rsid w:val="06125F12"/>
    <w:rsid w:val="061E3CBC"/>
    <w:rsid w:val="062B0F66"/>
    <w:rsid w:val="06324DA8"/>
    <w:rsid w:val="063A2402"/>
    <w:rsid w:val="063F36F7"/>
    <w:rsid w:val="06435F26"/>
    <w:rsid w:val="064F259E"/>
    <w:rsid w:val="065C333F"/>
    <w:rsid w:val="065E56D6"/>
    <w:rsid w:val="06652A65"/>
    <w:rsid w:val="067501AF"/>
    <w:rsid w:val="067D770A"/>
    <w:rsid w:val="069225AE"/>
    <w:rsid w:val="06924322"/>
    <w:rsid w:val="06AB53D0"/>
    <w:rsid w:val="06B10E77"/>
    <w:rsid w:val="06B8387C"/>
    <w:rsid w:val="06BF6A65"/>
    <w:rsid w:val="06D373C3"/>
    <w:rsid w:val="06DB1666"/>
    <w:rsid w:val="06E0078A"/>
    <w:rsid w:val="06E77370"/>
    <w:rsid w:val="06EE6D35"/>
    <w:rsid w:val="06F52CEE"/>
    <w:rsid w:val="06F77647"/>
    <w:rsid w:val="071F61A4"/>
    <w:rsid w:val="0722225B"/>
    <w:rsid w:val="07291105"/>
    <w:rsid w:val="072B17B4"/>
    <w:rsid w:val="072C0C12"/>
    <w:rsid w:val="072F741B"/>
    <w:rsid w:val="073B4B89"/>
    <w:rsid w:val="073E1CA8"/>
    <w:rsid w:val="0759553E"/>
    <w:rsid w:val="076E18D5"/>
    <w:rsid w:val="077239FA"/>
    <w:rsid w:val="07727DAF"/>
    <w:rsid w:val="07734E3B"/>
    <w:rsid w:val="077914A4"/>
    <w:rsid w:val="077A3AD7"/>
    <w:rsid w:val="0780011A"/>
    <w:rsid w:val="07854A0D"/>
    <w:rsid w:val="0786614A"/>
    <w:rsid w:val="078706F8"/>
    <w:rsid w:val="078E5724"/>
    <w:rsid w:val="079438B7"/>
    <w:rsid w:val="07944BD7"/>
    <w:rsid w:val="079501E5"/>
    <w:rsid w:val="079A607E"/>
    <w:rsid w:val="07A735DB"/>
    <w:rsid w:val="07A77DBD"/>
    <w:rsid w:val="07A92A37"/>
    <w:rsid w:val="07AA1E3D"/>
    <w:rsid w:val="07B20912"/>
    <w:rsid w:val="07B43C3B"/>
    <w:rsid w:val="07B75A11"/>
    <w:rsid w:val="07C021F2"/>
    <w:rsid w:val="07CB5922"/>
    <w:rsid w:val="07CC2D0A"/>
    <w:rsid w:val="07CC6C20"/>
    <w:rsid w:val="07FC0828"/>
    <w:rsid w:val="08010DB6"/>
    <w:rsid w:val="08025910"/>
    <w:rsid w:val="08077C7D"/>
    <w:rsid w:val="080D4A9E"/>
    <w:rsid w:val="081652FE"/>
    <w:rsid w:val="082475FB"/>
    <w:rsid w:val="082C46CB"/>
    <w:rsid w:val="08310915"/>
    <w:rsid w:val="08355EB1"/>
    <w:rsid w:val="083F195D"/>
    <w:rsid w:val="08444F1A"/>
    <w:rsid w:val="084D7065"/>
    <w:rsid w:val="08581B89"/>
    <w:rsid w:val="085927BD"/>
    <w:rsid w:val="085D11E2"/>
    <w:rsid w:val="085E05B4"/>
    <w:rsid w:val="087C6F7D"/>
    <w:rsid w:val="08830A58"/>
    <w:rsid w:val="089A458D"/>
    <w:rsid w:val="089D4EDB"/>
    <w:rsid w:val="08A14042"/>
    <w:rsid w:val="08A40201"/>
    <w:rsid w:val="08A90D2F"/>
    <w:rsid w:val="08AD02B1"/>
    <w:rsid w:val="08C067EC"/>
    <w:rsid w:val="08CB3D1D"/>
    <w:rsid w:val="08D84DEB"/>
    <w:rsid w:val="08DA3727"/>
    <w:rsid w:val="08DB68EF"/>
    <w:rsid w:val="08DD4A8F"/>
    <w:rsid w:val="08EA0D1A"/>
    <w:rsid w:val="08EA30C8"/>
    <w:rsid w:val="08F0654A"/>
    <w:rsid w:val="08F3637C"/>
    <w:rsid w:val="08F719C9"/>
    <w:rsid w:val="08F94A00"/>
    <w:rsid w:val="08FE72D2"/>
    <w:rsid w:val="09037D12"/>
    <w:rsid w:val="09076155"/>
    <w:rsid w:val="09235E3B"/>
    <w:rsid w:val="09261095"/>
    <w:rsid w:val="09330283"/>
    <w:rsid w:val="09397F7F"/>
    <w:rsid w:val="094008F1"/>
    <w:rsid w:val="094018C8"/>
    <w:rsid w:val="09442B31"/>
    <w:rsid w:val="094702FF"/>
    <w:rsid w:val="09487FBA"/>
    <w:rsid w:val="09626251"/>
    <w:rsid w:val="09661588"/>
    <w:rsid w:val="096A5D3D"/>
    <w:rsid w:val="0970122F"/>
    <w:rsid w:val="097B3C96"/>
    <w:rsid w:val="099615A5"/>
    <w:rsid w:val="09A158DF"/>
    <w:rsid w:val="09A335EE"/>
    <w:rsid w:val="09A759E2"/>
    <w:rsid w:val="09AC378B"/>
    <w:rsid w:val="09B1358B"/>
    <w:rsid w:val="09B73B20"/>
    <w:rsid w:val="09BF5BA0"/>
    <w:rsid w:val="09CD7FE8"/>
    <w:rsid w:val="09E6504F"/>
    <w:rsid w:val="09E70DC7"/>
    <w:rsid w:val="09EC5ECA"/>
    <w:rsid w:val="0A1C4A23"/>
    <w:rsid w:val="0A24544E"/>
    <w:rsid w:val="0A2713B5"/>
    <w:rsid w:val="0A2C7F07"/>
    <w:rsid w:val="0A347FFF"/>
    <w:rsid w:val="0A377EAA"/>
    <w:rsid w:val="0A3E2925"/>
    <w:rsid w:val="0A425455"/>
    <w:rsid w:val="0A573B03"/>
    <w:rsid w:val="0A5A1CB6"/>
    <w:rsid w:val="0A69227B"/>
    <w:rsid w:val="0A707D19"/>
    <w:rsid w:val="0A720BE6"/>
    <w:rsid w:val="0A7608BE"/>
    <w:rsid w:val="0A840338"/>
    <w:rsid w:val="0A8A6B2E"/>
    <w:rsid w:val="0A8E43C1"/>
    <w:rsid w:val="0A9125B0"/>
    <w:rsid w:val="0AA116B5"/>
    <w:rsid w:val="0AA36E36"/>
    <w:rsid w:val="0AC708B0"/>
    <w:rsid w:val="0AD21174"/>
    <w:rsid w:val="0AD45BAB"/>
    <w:rsid w:val="0AD5134C"/>
    <w:rsid w:val="0AE51C2E"/>
    <w:rsid w:val="0AE63B01"/>
    <w:rsid w:val="0AED1C2D"/>
    <w:rsid w:val="0AEF0EA9"/>
    <w:rsid w:val="0AF422E7"/>
    <w:rsid w:val="0B014303"/>
    <w:rsid w:val="0B0B1195"/>
    <w:rsid w:val="0B2E6252"/>
    <w:rsid w:val="0B304883"/>
    <w:rsid w:val="0B334837"/>
    <w:rsid w:val="0B345D1E"/>
    <w:rsid w:val="0B35314D"/>
    <w:rsid w:val="0B432FE2"/>
    <w:rsid w:val="0B486443"/>
    <w:rsid w:val="0B50681C"/>
    <w:rsid w:val="0B5F4020"/>
    <w:rsid w:val="0B6A4B1C"/>
    <w:rsid w:val="0B6A7442"/>
    <w:rsid w:val="0B72628C"/>
    <w:rsid w:val="0B784E68"/>
    <w:rsid w:val="0B7F51C1"/>
    <w:rsid w:val="0B8343DC"/>
    <w:rsid w:val="0B9277B6"/>
    <w:rsid w:val="0B9A2905"/>
    <w:rsid w:val="0BA2610D"/>
    <w:rsid w:val="0BA73980"/>
    <w:rsid w:val="0BB430AF"/>
    <w:rsid w:val="0BB819AE"/>
    <w:rsid w:val="0BBC5240"/>
    <w:rsid w:val="0BC11315"/>
    <w:rsid w:val="0BC20968"/>
    <w:rsid w:val="0BC42385"/>
    <w:rsid w:val="0BCE2573"/>
    <w:rsid w:val="0BE2045E"/>
    <w:rsid w:val="0BE5582F"/>
    <w:rsid w:val="0BE85A26"/>
    <w:rsid w:val="0BEC1D78"/>
    <w:rsid w:val="0BF25BCC"/>
    <w:rsid w:val="0C00579A"/>
    <w:rsid w:val="0C013C82"/>
    <w:rsid w:val="0C0E2BC1"/>
    <w:rsid w:val="0C126D0C"/>
    <w:rsid w:val="0C134861"/>
    <w:rsid w:val="0C144C3A"/>
    <w:rsid w:val="0C1B4A0E"/>
    <w:rsid w:val="0C1D028D"/>
    <w:rsid w:val="0C2255FD"/>
    <w:rsid w:val="0C351035"/>
    <w:rsid w:val="0C3D336B"/>
    <w:rsid w:val="0C3E49DD"/>
    <w:rsid w:val="0C404F53"/>
    <w:rsid w:val="0C423EDA"/>
    <w:rsid w:val="0C463B9B"/>
    <w:rsid w:val="0C4D158E"/>
    <w:rsid w:val="0C4D3484"/>
    <w:rsid w:val="0C5116B1"/>
    <w:rsid w:val="0C5847FE"/>
    <w:rsid w:val="0C65201B"/>
    <w:rsid w:val="0C682998"/>
    <w:rsid w:val="0C683AD6"/>
    <w:rsid w:val="0C685E24"/>
    <w:rsid w:val="0C8552E8"/>
    <w:rsid w:val="0C9024B0"/>
    <w:rsid w:val="0C9248C4"/>
    <w:rsid w:val="0C9539F6"/>
    <w:rsid w:val="0C994640"/>
    <w:rsid w:val="0C9D0025"/>
    <w:rsid w:val="0CAB52FA"/>
    <w:rsid w:val="0CAB78B4"/>
    <w:rsid w:val="0CB45CC6"/>
    <w:rsid w:val="0CBF5DDE"/>
    <w:rsid w:val="0CCA17CB"/>
    <w:rsid w:val="0CDA2C87"/>
    <w:rsid w:val="0CEB68F7"/>
    <w:rsid w:val="0CF84682"/>
    <w:rsid w:val="0CFC4B59"/>
    <w:rsid w:val="0CFE3F3E"/>
    <w:rsid w:val="0CFE5F51"/>
    <w:rsid w:val="0D0B09E8"/>
    <w:rsid w:val="0D0D72DB"/>
    <w:rsid w:val="0D10569B"/>
    <w:rsid w:val="0D155E1C"/>
    <w:rsid w:val="0D1F2761"/>
    <w:rsid w:val="0D212916"/>
    <w:rsid w:val="0D275004"/>
    <w:rsid w:val="0D347E53"/>
    <w:rsid w:val="0D3A1A56"/>
    <w:rsid w:val="0D3C35A1"/>
    <w:rsid w:val="0D3E5064"/>
    <w:rsid w:val="0D402B5D"/>
    <w:rsid w:val="0D462CD7"/>
    <w:rsid w:val="0D4636AA"/>
    <w:rsid w:val="0D4B68B3"/>
    <w:rsid w:val="0D4C4536"/>
    <w:rsid w:val="0D501630"/>
    <w:rsid w:val="0D56158B"/>
    <w:rsid w:val="0D6344DF"/>
    <w:rsid w:val="0D704260"/>
    <w:rsid w:val="0D7A202B"/>
    <w:rsid w:val="0D855934"/>
    <w:rsid w:val="0D874AFC"/>
    <w:rsid w:val="0D932CCF"/>
    <w:rsid w:val="0D941C65"/>
    <w:rsid w:val="0D980AAF"/>
    <w:rsid w:val="0DA96DB8"/>
    <w:rsid w:val="0DB24B59"/>
    <w:rsid w:val="0DB414B7"/>
    <w:rsid w:val="0DC062E8"/>
    <w:rsid w:val="0DC649DE"/>
    <w:rsid w:val="0DCB1309"/>
    <w:rsid w:val="0DD35252"/>
    <w:rsid w:val="0DD8796F"/>
    <w:rsid w:val="0DD951EC"/>
    <w:rsid w:val="0DDE5613"/>
    <w:rsid w:val="0DE32B98"/>
    <w:rsid w:val="0DF460CD"/>
    <w:rsid w:val="0DF86A1D"/>
    <w:rsid w:val="0E05481D"/>
    <w:rsid w:val="0E086ECC"/>
    <w:rsid w:val="0E0E2FC5"/>
    <w:rsid w:val="0E0F1C11"/>
    <w:rsid w:val="0E105DFA"/>
    <w:rsid w:val="0E1260C2"/>
    <w:rsid w:val="0E1A7ED1"/>
    <w:rsid w:val="0E2272EE"/>
    <w:rsid w:val="0E25275F"/>
    <w:rsid w:val="0E2A0EE1"/>
    <w:rsid w:val="0E586667"/>
    <w:rsid w:val="0E5E4099"/>
    <w:rsid w:val="0E6A69C6"/>
    <w:rsid w:val="0E760B5F"/>
    <w:rsid w:val="0E8D4022"/>
    <w:rsid w:val="0E974382"/>
    <w:rsid w:val="0E9F7A01"/>
    <w:rsid w:val="0EA23DB3"/>
    <w:rsid w:val="0EA53062"/>
    <w:rsid w:val="0EAB34F5"/>
    <w:rsid w:val="0EBC3D70"/>
    <w:rsid w:val="0EC70943"/>
    <w:rsid w:val="0ECB60A9"/>
    <w:rsid w:val="0ED1479C"/>
    <w:rsid w:val="0ED33753"/>
    <w:rsid w:val="0EDA7156"/>
    <w:rsid w:val="0EE87FB4"/>
    <w:rsid w:val="0EF37A26"/>
    <w:rsid w:val="0EF929D8"/>
    <w:rsid w:val="0EFB53F0"/>
    <w:rsid w:val="0EFF6D8E"/>
    <w:rsid w:val="0F002F71"/>
    <w:rsid w:val="0F065C8B"/>
    <w:rsid w:val="0F110BD5"/>
    <w:rsid w:val="0F213AE9"/>
    <w:rsid w:val="0F3366EA"/>
    <w:rsid w:val="0F385F90"/>
    <w:rsid w:val="0F5518EC"/>
    <w:rsid w:val="0F707AB0"/>
    <w:rsid w:val="0F724F2E"/>
    <w:rsid w:val="0F754726"/>
    <w:rsid w:val="0F7B42D0"/>
    <w:rsid w:val="0F880ACA"/>
    <w:rsid w:val="0F8D0224"/>
    <w:rsid w:val="0F9765B4"/>
    <w:rsid w:val="0FB7749B"/>
    <w:rsid w:val="0FBD3FF0"/>
    <w:rsid w:val="0FBE028E"/>
    <w:rsid w:val="0FDC4974"/>
    <w:rsid w:val="0FDE3A15"/>
    <w:rsid w:val="0FE05E91"/>
    <w:rsid w:val="0FF15009"/>
    <w:rsid w:val="0FF35A37"/>
    <w:rsid w:val="0FF94442"/>
    <w:rsid w:val="0FFA0414"/>
    <w:rsid w:val="100264E6"/>
    <w:rsid w:val="100809C2"/>
    <w:rsid w:val="100C715B"/>
    <w:rsid w:val="100F2854"/>
    <w:rsid w:val="101677B1"/>
    <w:rsid w:val="101F64CF"/>
    <w:rsid w:val="10252C32"/>
    <w:rsid w:val="102752CE"/>
    <w:rsid w:val="10326B89"/>
    <w:rsid w:val="10394AB2"/>
    <w:rsid w:val="10422DF8"/>
    <w:rsid w:val="10467752"/>
    <w:rsid w:val="10527159"/>
    <w:rsid w:val="10553E43"/>
    <w:rsid w:val="10676C98"/>
    <w:rsid w:val="1070340B"/>
    <w:rsid w:val="107F700F"/>
    <w:rsid w:val="108120D5"/>
    <w:rsid w:val="108662BC"/>
    <w:rsid w:val="108A570B"/>
    <w:rsid w:val="108D55DC"/>
    <w:rsid w:val="10906930"/>
    <w:rsid w:val="10907ADB"/>
    <w:rsid w:val="10A44157"/>
    <w:rsid w:val="10B45E23"/>
    <w:rsid w:val="10B7210D"/>
    <w:rsid w:val="10C053F3"/>
    <w:rsid w:val="10C05EA1"/>
    <w:rsid w:val="10C461F7"/>
    <w:rsid w:val="10C71D5D"/>
    <w:rsid w:val="10CB7F1E"/>
    <w:rsid w:val="10D17833"/>
    <w:rsid w:val="10D75B19"/>
    <w:rsid w:val="10DC2F41"/>
    <w:rsid w:val="10DD4B4A"/>
    <w:rsid w:val="10E31921"/>
    <w:rsid w:val="10F22FF8"/>
    <w:rsid w:val="110172EF"/>
    <w:rsid w:val="11114221"/>
    <w:rsid w:val="112011D1"/>
    <w:rsid w:val="11330F7C"/>
    <w:rsid w:val="113744E3"/>
    <w:rsid w:val="11391581"/>
    <w:rsid w:val="1148108A"/>
    <w:rsid w:val="115C31CB"/>
    <w:rsid w:val="1162563D"/>
    <w:rsid w:val="116750E3"/>
    <w:rsid w:val="116C4226"/>
    <w:rsid w:val="1172185C"/>
    <w:rsid w:val="11724F4F"/>
    <w:rsid w:val="117E55B3"/>
    <w:rsid w:val="11851853"/>
    <w:rsid w:val="11904FB7"/>
    <w:rsid w:val="11B351D8"/>
    <w:rsid w:val="11B90CF1"/>
    <w:rsid w:val="11C061D1"/>
    <w:rsid w:val="11C57AB9"/>
    <w:rsid w:val="11CB326A"/>
    <w:rsid w:val="11CB524E"/>
    <w:rsid w:val="11D81560"/>
    <w:rsid w:val="11DC3517"/>
    <w:rsid w:val="11DE0C10"/>
    <w:rsid w:val="11DF02B0"/>
    <w:rsid w:val="11EB289D"/>
    <w:rsid w:val="11EE7510"/>
    <w:rsid w:val="11FF3007"/>
    <w:rsid w:val="1203116D"/>
    <w:rsid w:val="12031BB1"/>
    <w:rsid w:val="12047DFE"/>
    <w:rsid w:val="12150AA2"/>
    <w:rsid w:val="12186EE0"/>
    <w:rsid w:val="121A4A1E"/>
    <w:rsid w:val="123D76DA"/>
    <w:rsid w:val="124256E9"/>
    <w:rsid w:val="125B2435"/>
    <w:rsid w:val="125D7543"/>
    <w:rsid w:val="127821FB"/>
    <w:rsid w:val="12793B2D"/>
    <w:rsid w:val="12851595"/>
    <w:rsid w:val="128B5BDC"/>
    <w:rsid w:val="128E5166"/>
    <w:rsid w:val="12965308"/>
    <w:rsid w:val="12A01EF4"/>
    <w:rsid w:val="12A1520A"/>
    <w:rsid w:val="12A43214"/>
    <w:rsid w:val="12A471B8"/>
    <w:rsid w:val="12B9361E"/>
    <w:rsid w:val="12C128B9"/>
    <w:rsid w:val="12C6535B"/>
    <w:rsid w:val="12C657D3"/>
    <w:rsid w:val="12C743CE"/>
    <w:rsid w:val="12C7507A"/>
    <w:rsid w:val="12D4009F"/>
    <w:rsid w:val="12D8718C"/>
    <w:rsid w:val="12D9704A"/>
    <w:rsid w:val="12E731A9"/>
    <w:rsid w:val="12E742D9"/>
    <w:rsid w:val="12EE7898"/>
    <w:rsid w:val="12F272E1"/>
    <w:rsid w:val="12F30286"/>
    <w:rsid w:val="12F67931"/>
    <w:rsid w:val="1301096D"/>
    <w:rsid w:val="13034ED9"/>
    <w:rsid w:val="13144A71"/>
    <w:rsid w:val="13161E79"/>
    <w:rsid w:val="13187141"/>
    <w:rsid w:val="131913EB"/>
    <w:rsid w:val="131F59DA"/>
    <w:rsid w:val="133372CD"/>
    <w:rsid w:val="133612FB"/>
    <w:rsid w:val="13424A93"/>
    <w:rsid w:val="13512645"/>
    <w:rsid w:val="13523955"/>
    <w:rsid w:val="13540A1A"/>
    <w:rsid w:val="13556A43"/>
    <w:rsid w:val="13575440"/>
    <w:rsid w:val="135A28C7"/>
    <w:rsid w:val="13622AE4"/>
    <w:rsid w:val="13635EB2"/>
    <w:rsid w:val="136970C2"/>
    <w:rsid w:val="137123F9"/>
    <w:rsid w:val="13777B09"/>
    <w:rsid w:val="137F1ECC"/>
    <w:rsid w:val="13924541"/>
    <w:rsid w:val="1395322D"/>
    <w:rsid w:val="1398312E"/>
    <w:rsid w:val="13AF5B95"/>
    <w:rsid w:val="13C340BC"/>
    <w:rsid w:val="13C83F61"/>
    <w:rsid w:val="13CE4C9A"/>
    <w:rsid w:val="13D46D94"/>
    <w:rsid w:val="13DA1942"/>
    <w:rsid w:val="13ED774D"/>
    <w:rsid w:val="13F601F5"/>
    <w:rsid w:val="14007D99"/>
    <w:rsid w:val="141943BB"/>
    <w:rsid w:val="14215D30"/>
    <w:rsid w:val="142B61D4"/>
    <w:rsid w:val="14315008"/>
    <w:rsid w:val="1437145B"/>
    <w:rsid w:val="14393FE0"/>
    <w:rsid w:val="143A4B54"/>
    <w:rsid w:val="14400853"/>
    <w:rsid w:val="1444152A"/>
    <w:rsid w:val="148A2EA9"/>
    <w:rsid w:val="149717D9"/>
    <w:rsid w:val="149D1B7F"/>
    <w:rsid w:val="14A40E42"/>
    <w:rsid w:val="14A56AA4"/>
    <w:rsid w:val="14BB037B"/>
    <w:rsid w:val="14C2513E"/>
    <w:rsid w:val="14C83611"/>
    <w:rsid w:val="14D61DA6"/>
    <w:rsid w:val="14D623D0"/>
    <w:rsid w:val="14E95DA7"/>
    <w:rsid w:val="14F577A9"/>
    <w:rsid w:val="14FB19F2"/>
    <w:rsid w:val="14FB55D3"/>
    <w:rsid w:val="15014460"/>
    <w:rsid w:val="15100C60"/>
    <w:rsid w:val="15163DD6"/>
    <w:rsid w:val="151B241A"/>
    <w:rsid w:val="151D6384"/>
    <w:rsid w:val="152423D4"/>
    <w:rsid w:val="15291690"/>
    <w:rsid w:val="15297225"/>
    <w:rsid w:val="153D1F0E"/>
    <w:rsid w:val="15543FB5"/>
    <w:rsid w:val="15590CE4"/>
    <w:rsid w:val="155C67F0"/>
    <w:rsid w:val="156778B7"/>
    <w:rsid w:val="15687B90"/>
    <w:rsid w:val="157E5317"/>
    <w:rsid w:val="158B4495"/>
    <w:rsid w:val="15920F9B"/>
    <w:rsid w:val="15933210"/>
    <w:rsid w:val="159B4377"/>
    <w:rsid w:val="15A3757B"/>
    <w:rsid w:val="15AE62E9"/>
    <w:rsid w:val="15AF2080"/>
    <w:rsid w:val="15B14582"/>
    <w:rsid w:val="15B52B05"/>
    <w:rsid w:val="15BD19C1"/>
    <w:rsid w:val="15C0649C"/>
    <w:rsid w:val="15C55392"/>
    <w:rsid w:val="15CB4366"/>
    <w:rsid w:val="15DA24ED"/>
    <w:rsid w:val="15E2649E"/>
    <w:rsid w:val="15E90B71"/>
    <w:rsid w:val="15EE4E5D"/>
    <w:rsid w:val="15FD2804"/>
    <w:rsid w:val="16056793"/>
    <w:rsid w:val="1607463A"/>
    <w:rsid w:val="160A1A28"/>
    <w:rsid w:val="160D0B0E"/>
    <w:rsid w:val="16232EA4"/>
    <w:rsid w:val="16247854"/>
    <w:rsid w:val="163204BD"/>
    <w:rsid w:val="163975BF"/>
    <w:rsid w:val="163C596E"/>
    <w:rsid w:val="16454E1F"/>
    <w:rsid w:val="164A6233"/>
    <w:rsid w:val="165D4A43"/>
    <w:rsid w:val="16673902"/>
    <w:rsid w:val="166A4461"/>
    <w:rsid w:val="166D5548"/>
    <w:rsid w:val="167066B7"/>
    <w:rsid w:val="16737E77"/>
    <w:rsid w:val="16744831"/>
    <w:rsid w:val="16754046"/>
    <w:rsid w:val="16763F65"/>
    <w:rsid w:val="167A09B1"/>
    <w:rsid w:val="168548B9"/>
    <w:rsid w:val="1696488C"/>
    <w:rsid w:val="169B2156"/>
    <w:rsid w:val="16A622FB"/>
    <w:rsid w:val="16A935D8"/>
    <w:rsid w:val="16C61F1F"/>
    <w:rsid w:val="16D100DA"/>
    <w:rsid w:val="16D23A04"/>
    <w:rsid w:val="16D37BCB"/>
    <w:rsid w:val="16E421E0"/>
    <w:rsid w:val="16F65DEF"/>
    <w:rsid w:val="170006D2"/>
    <w:rsid w:val="17097EE8"/>
    <w:rsid w:val="170E71F6"/>
    <w:rsid w:val="17205904"/>
    <w:rsid w:val="17324E04"/>
    <w:rsid w:val="173279C0"/>
    <w:rsid w:val="173B3A6D"/>
    <w:rsid w:val="174B4FED"/>
    <w:rsid w:val="175029D4"/>
    <w:rsid w:val="175204F9"/>
    <w:rsid w:val="17533277"/>
    <w:rsid w:val="175658B7"/>
    <w:rsid w:val="17571A2C"/>
    <w:rsid w:val="175F2070"/>
    <w:rsid w:val="176A23E4"/>
    <w:rsid w:val="177A115C"/>
    <w:rsid w:val="177C4F88"/>
    <w:rsid w:val="17845FD3"/>
    <w:rsid w:val="17A5317E"/>
    <w:rsid w:val="17AC4A03"/>
    <w:rsid w:val="17AD1FAC"/>
    <w:rsid w:val="17AF1267"/>
    <w:rsid w:val="17B30AF9"/>
    <w:rsid w:val="17B3173F"/>
    <w:rsid w:val="17B44775"/>
    <w:rsid w:val="17BB6759"/>
    <w:rsid w:val="17CC63AF"/>
    <w:rsid w:val="17CC67E7"/>
    <w:rsid w:val="17CF454D"/>
    <w:rsid w:val="17D462F8"/>
    <w:rsid w:val="17DA7E20"/>
    <w:rsid w:val="17EC2C7B"/>
    <w:rsid w:val="17F03627"/>
    <w:rsid w:val="17F55B0D"/>
    <w:rsid w:val="17FF203C"/>
    <w:rsid w:val="18005BE1"/>
    <w:rsid w:val="18015759"/>
    <w:rsid w:val="180560D3"/>
    <w:rsid w:val="18056339"/>
    <w:rsid w:val="18087426"/>
    <w:rsid w:val="180E734D"/>
    <w:rsid w:val="18282D0B"/>
    <w:rsid w:val="183C5E78"/>
    <w:rsid w:val="18483741"/>
    <w:rsid w:val="184A0354"/>
    <w:rsid w:val="18512FB2"/>
    <w:rsid w:val="18715A1D"/>
    <w:rsid w:val="188553C1"/>
    <w:rsid w:val="188930FF"/>
    <w:rsid w:val="18910F6F"/>
    <w:rsid w:val="1894428E"/>
    <w:rsid w:val="18AE06A5"/>
    <w:rsid w:val="18AE2983"/>
    <w:rsid w:val="18AE40DD"/>
    <w:rsid w:val="18B155BE"/>
    <w:rsid w:val="18BC07D1"/>
    <w:rsid w:val="18BC6EC0"/>
    <w:rsid w:val="18C52F93"/>
    <w:rsid w:val="18C820D7"/>
    <w:rsid w:val="18D37869"/>
    <w:rsid w:val="18D9034C"/>
    <w:rsid w:val="18DE6578"/>
    <w:rsid w:val="18EA6879"/>
    <w:rsid w:val="18EC5547"/>
    <w:rsid w:val="18FC0E2E"/>
    <w:rsid w:val="18FE7934"/>
    <w:rsid w:val="1904247E"/>
    <w:rsid w:val="190C351C"/>
    <w:rsid w:val="19147DA8"/>
    <w:rsid w:val="19202876"/>
    <w:rsid w:val="19212278"/>
    <w:rsid w:val="19263AEB"/>
    <w:rsid w:val="1930701F"/>
    <w:rsid w:val="19383D4C"/>
    <w:rsid w:val="194B069B"/>
    <w:rsid w:val="194C35B0"/>
    <w:rsid w:val="194E008A"/>
    <w:rsid w:val="195C72A2"/>
    <w:rsid w:val="1965469A"/>
    <w:rsid w:val="19667E42"/>
    <w:rsid w:val="19737DFC"/>
    <w:rsid w:val="197B25BC"/>
    <w:rsid w:val="19815482"/>
    <w:rsid w:val="198A1D90"/>
    <w:rsid w:val="199A5ACD"/>
    <w:rsid w:val="199D444B"/>
    <w:rsid w:val="19A36F54"/>
    <w:rsid w:val="19A57EAB"/>
    <w:rsid w:val="19B22CA9"/>
    <w:rsid w:val="19C41ACA"/>
    <w:rsid w:val="19C431F5"/>
    <w:rsid w:val="19CB4300"/>
    <w:rsid w:val="19D372C0"/>
    <w:rsid w:val="19D425A3"/>
    <w:rsid w:val="19D838D7"/>
    <w:rsid w:val="19DC24E2"/>
    <w:rsid w:val="19DD1A18"/>
    <w:rsid w:val="19F63538"/>
    <w:rsid w:val="19FD5406"/>
    <w:rsid w:val="1A0152C4"/>
    <w:rsid w:val="1A0518C5"/>
    <w:rsid w:val="1A123ED0"/>
    <w:rsid w:val="1A150887"/>
    <w:rsid w:val="1A18305C"/>
    <w:rsid w:val="1A242B32"/>
    <w:rsid w:val="1A2812E8"/>
    <w:rsid w:val="1A2856DE"/>
    <w:rsid w:val="1A3515C6"/>
    <w:rsid w:val="1A3E407B"/>
    <w:rsid w:val="1A4351ED"/>
    <w:rsid w:val="1A445DED"/>
    <w:rsid w:val="1A542F09"/>
    <w:rsid w:val="1A5A132E"/>
    <w:rsid w:val="1A60096E"/>
    <w:rsid w:val="1A644C40"/>
    <w:rsid w:val="1A7176B2"/>
    <w:rsid w:val="1A757986"/>
    <w:rsid w:val="1A826233"/>
    <w:rsid w:val="1A900C99"/>
    <w:rsid w:val="1A955B4B"/>
    <w:rsid w:val="1A9702DA"/>
    <w:rsid w:val="1AA20930"/>
    <w:rsid w:val="1AAC4048"/>
    <w:rsid w:val="1AC248A4"/>
    <w:rsid w:val="1AC659DE"/>
    <w:rsid w:val="1AD27455"/>
    <w:rsid w:val="1AE62EE6"/>
    <w:rsid w:val="1AEB31C8"/>
    <w:rsid w:val="1AEC3320"/>
    <w:rsid w:val="1AF6439F"/>
    <w:rsid w:val="1AF9140A"/>
    <w:rsid w:val="1AF97E69"/>
    <w:rsid w:val="1AFC10B5"/>
    <w:rsid w:val="1AFD0803"/>
    <w:rsid w:val="1B050F7B"/>
    <w:rsid w:val="1B063AB7"/>
    <w:rsid w:val="1B2738C3"/>
    <w:rsid w:val="1B2A6393"/>
    <w:rsid w:val="1B2C2467"/>
    <w:rsid w:val="1B471163"/>
    <w:rsid w:val="1B4B3AFD"/>
    <w:rsid w:val="1B4B76B5"/>
    <w:rsid w:val="1B53793E"/>
    <w:rsid w:val="1B5B77B9"/>
    <w:rsid w:val="1B653984"/>
    <w:rsid w:val="1B6559A2"/>
    <w:rsid w:val="1B6A229B"/>
    <w:rsid w:val="1B6A3FD3"/>
    <w:rsid w:val="1B6A5A2D"/>
    <w:rsid w:val="1B743515"/>
    <w:rsid w:val="1B750322"/>
    <w:rsid w:val="1B8639A3"/>
    <w:rsid w:val="1B865E43"/>
    <w:rsid w:val="1B8C2545"/>
    <w:rsid w:val="1B924138"/>
    <w:rsid w:val="1BA1734C"/>
    <w:rsid w:val="1BA96B3C"/>
    <w:rsid w:val="1BAD3254"/>
    <w:rsid w:val="1BAF5A13"/>
    <w:rsid w:val="1BBC1C26"/>
    <w:rsid w:val="1BBD70C1"/>
    <w:rsid w:val="1BDD3A4B"/>
    <w:rsid w:val="1BDF0B5F"/>
    <w:rsid w:val="1BED3D25"/>
    <w:rsid w:val="1BF92637"/>
    <w:rsid w:val="1BFE3885"/>
    <w:rsid w:val="1BFF6030"/>
    <w:rsid w:val="1C0C13C9"/>
    <w:rsid w:val="1C1C6F93"/>
    <w:rsid w:val="1C2A55F1"/>
    <w:rsid w:val="1C2C2D70"/>
    <w:rsid w:val="1C3D3E09"/>
    <w:rsid w:val="1C41703C"/>
    <w:rsid w:val="1C422E13"/>
    <w:rsid w:val="1C43631F"/>
    <w:rsid w:val="1C5432E4"/>
    <w:rsid w:val="1C6E3925"/>
    <w:rsid w:val="1C701D0D"/>
    <w:rsid w:val="1C82093E"/>
    <w:rsid w:val="1C8D303A"/>
    <w:rsid w:val="1C8E3869"/>
    <w:rsid w:val="1C903F89"/>
    <w:rsid w:val="1C905F06"/>
    <w:rsid w:val="1C995A70"/>
    <w:rsid w:val="1C9A0B21"/>
    <w:rsid w:val="1CAB1254"/>
    <w:rsid w:val="1CAE3BA7"/>
    <w:rsid w:val="1CB92E5A"/>
    <w:rsid w:val="1CB93F92"/>
    <w:rsid w:val="1CBF46C4"/>
    <w:rsid w:val="1CC35C9C"/>
    <w:rsid w:val="1CC471D0"/>
    <w:rsid w:val="1CDF0B3F"/>
    <w:rsid w:val="1CE66672"/>
    <w:rsid w:val="1CEF4565"/>
    <w:rsid w:val="1CF2670A"/>
    <w:rsid w:val="1CF63CC5"/>
    <w:rsid w:val="1CFB4FC3"/>
    <w:rsid w:val="1D190F3D"/>
    <w:rsid w:val="1D205B7B"/>
    <w:rsid w:val="1D376199"/>
    <w:rsid w:val="1D3C40F2"/>
    <w:rsid w:val="1D437222"/>
    <w:rsid w:val="1D485EF9"/>
    <w:rsid w:val="1D5A7FCE"/>
    <w:rsid w:val="1D5B7BAB"/>
    <w:rsid w:val="1D601BDC"/>
    <w:rsid w:val="1D6834F0"/>
    <w:rsid w:val="1D7823E2"/>
    <w:rsid w:val="1D8D7CE0"/>
    <w:rsid w:val="1D921379"/>
    <w:rsid w:val="1D9B4119"/>
    <w:rsid w:val="1D9E0DC3"/>
    <w:rsid w:val="1DA62E04"/>
    <w:rsid w:val="1DA76E65"/>
    <w:rsid w:val="1DAA0A9A"/>
    <w:rsid w:val="1DB059F9"/>
    <w:rsid w:val="1DB06910"/>
    <w:rsid w:val="1DB30D77"/>
    <w:rsid w:val="1DB7662D"/>
    <w:rsid w:val="1DBE1E92"/>
    <w:rsid w:val="1DBE39BF"/>
    <w:rsid w:val="1DBF22C4"/>
    <w:rsid w:val="1DBF266E"/>
    <w:rsid w:val="1DC23020"/>
    <w:rsid w:val="1DC85902"/>
    <w:rsid w:val="1DCD2D0E"/>
    <w:rsid w:val="1DD823D5"/>
    <w:rsid w:val="1DE06F4A"/>
    <w:rsid w:val="1DE152AB"/>
    <w:rsid w:val="1DEB2F67"/>
    <w:rsid w:val="1DF70DE4"/>
    <w:rsid w:val="1DF87678"/>
    <w:rsid w:val="1DFE6A07"/>
    <w:rsid w:val="1DFF0E4C"/>
    <w:rsid w:val="1E0A316E"/>
    <w:rsid w:val="1E167CE8"/>
    <w:rsid w:val="1E1B2449"/>
    <w:rsid w:val="1E1E26D3"/>
    <w:rsid w:val="1E381756"/>
    <w:rsid w:val="1E4201AC"/>
    <w:rsid w:val="1E6F557C"/>
    <w:rsid w:val="1E6F61D0"/>
    <w:rsid w:val="1E7645BA"/>
    <w:rsid w:val="1E7759BC"/>
    <w:rsid w:val="1E7B688F"/>
    <w:rsid w:val="1E8A0251"/>
    <w:rsid w:val="1E8F396D"/>
    <w:rsid w:val="1EA63611"/>
    <w:rsid w:val="1EB4498A"/>
    <w:rsid w:val="1EBE5D5D"/>
    <w:rsid w:val="1EBF5D80"/>
    <w:rsid w:val="1EC147C0"/>
    <w:rsid w:val="1EC343B4"/>
    <w:rsid w:val="1ECD5518"/>
    <w:rsid w:val="1ED42438"/>
    <w:rsid w:val="1ED5132C"/>
    <w:rsid w:val="1ED536AC"/>
    <w:rsid w:val="1ED832CF"/>
    <w:rsid w:val="1EDD073D"/>
    <w:rsid w:val="1EE15A18"/>
    <w:rsid w:val="1EE56449"/>
    <w:rsid w:val="1EEB29F9"/>
    <w:rsid w:val="1EEB4DB5"/>
    <w:rsid w:val="1F0425BC"/>
    <w:rsid w:val="1F0C0CD4"/>
    <w:rsid w:val="1F1A314C"/>
    <w:rsid w:val="1F1A7849"/>
    <w:rsid w:val="1F205E4E"/>
    <w:rsid w:val="1F417B79"/>
    <w:rsid w:val="1F462112"/>
    <w:rsid w:val="1F5B6E3A"/>
    <w:rsid w:val="1F5E0C4C"/>
    <w:rsid w:val="1F6C2DB9"/>
    <w:rsid w:val="1F705D06"/>
    <w:rsid w:val="1F7466BB"/>
    <w:rsid w:val="1F7D309F"/>
    <w:rsid w:val="1F990C93"/>
    <w:rsid w:val="1FA94EC8"/>
    <w:rsid w:val="1FAB3E50"/>
    <w:rsid w:val="1FAC0702"/>
    <w:rsid w:val="1FD3578E"/>
    <w:rsid w:val="1FD919C2"/>
    <w:rsid w:val="1FE47800"/>
    <w:rsid w:val="1FEC39F9"/>
    <w:rsid w:val="1FF3444D"/>
    <w:rsid w:val="1FFB437E"/>
    <w:rsid w:val="1FFF62FE"/>
    <w:rsid w:val="20041453"/>
    <w:rsid w:val="200F3726"/>
    <w:rsid w:val="201C7D57"/>
    <w:rsid w:val="201E135C"/>
    <w:rsid w:val="201F5110"/>
    <w:rsid w:val="202146FA"/>
    <w:rsid w:val="20233F9A"/>
    <w:rsid w:val="202C2D08"/>
    <w:rsid w:val="2032051F"/>
    <w:rsid w:val="20573BC0"/>
    <w:rsid w:val="20650E8F"/>
    <w:rsid w:val="20710D8D"/>
    <w:rsid w:val="207C1590"/>
    <w:rsid w:val="208230AF"/>
    <w:rsid w:val="20901BF7"/>
    <w:rsid w:val="2094766D"/>
    <w:rsid w:val="20B06DB3"/>
    <w:rsid w:val="20C001E4"/>
    <w:rsid w:val="20C10198"/>
    <w:rsid w:val="20C305AE"/>
    <w:rsid w:val="20CE6508"/>
    <w:rsid w:val="20CF45B2"/>
    <w:rsid w:val="20D46FE5"/>
    <w:rsid w:val="20D91C6A"/>
    <w:rsid w:val="20EC354A"/>
    <w:rsid w:val="20ED0683"/>
    <w:rsid w:val="20F05803"/>
    <w:rsid w:val="20F81014"/>
    <w:rsid w:val="21083C84"/>
    <w:rsid w:val="210B2CF0"/>
    <w:rsid w:val="2113409E"/>
    <w:rsid w:val="211729E5"/>
    <w:rsid w:val="2119266C"/>
    <w:rsid w:val="212D58D9"/>
    <w:rsid w:val="21302278"/>
    <w:rsid w:val="213476DE"/>
    <w:rsid w:val="21370A87"/>
    <w:rsid w:val="214767E1"/>
    <w:rsid w:val="21574AA1"/>
    <w:rsid w:val="21602545"/>
    <w:rsid w:val="216D75BF"/>
    <w:rsid w:val="21786BC5"/>
    <w:rsid w:val="21892D68"/>
    <w:rsid w:val="218B1EB4"/>
    <w:rsid w:val="21970A5E"/>
    <w:rsid w:val="21993802"/>
    <w:rsid w:val="21A342BB"/>
    <w:rsid w:val="21A54404"/>
    <w:rsid w:val="21B14E15"/>
    <w:rsid w:val="21B667C8"/>
    <w:rsid w:val="21BB782F"/>
    <w:rsid w:val="21BC5DA7"/>
    <w:rsid w:val="21C47B2C"/>
    <w:rsid w:val="21C67A6B"/>
    <w:rsid w:val="21CC3088"/>
    <w:rsid w:val="21CD4A1B"/>
    <w:rsid w:val="21DE2D77"/>
    <w:rsid w:val="21E72B9E"/>
    <w:rsid w:val="21F21AC7"/>
    <w:rsid w:val="21FA726B"/>
    <w:rsid w:val="21FD3DED"/>
    <w:rsid w:val="21FF77AE"/>
    <w:rsid w:val="220B0453"/>
    <w:rsid w:val="220C7B7E"/>
    <w:rsid w:val="220D39F4"/>
    <w:rsid w:val="2212441F"/>
    <w:rsid w:val="221850C2"/>
    <w:rsid w:val="222B1F16"/>
    <w:rsid w:val="223C143A"/>
    <w:rsid w:val="22474F94"/>
    <w:rsid w:val="225C7943"/>
    <w:rsid w:val="226B4DBC"/>
    <w:rsid w:val="22764121"/>
    <w:rsid w:val="22766D14"/>
    <w:rsid w:val="22861D84"/>
    <w:rsid w:val="228C02B9"/>
    <w:rsid w:val="22925396"/>
    <w:rsid w:val="229347AE"/>
    <w:rsid w:val="22A3082D"/>
    <w:rsid w:val="22A7329F"/>
    <w:rsid w:val="22AF2A88"/>
    <w:rsid w:val="22B756BD"/>
    <w:rsid w:val="22B86F65"/>
    <w:rsid w:val="22BB0971"/>
    <w:rsid w:val="22C727B5"/>
    <w:rsid w:val="22C9734C"/>
    <w:rsid w:val="22D11755"/>
    <w:rsid w:val="22D72C24"/>
    <w:rsid w:val="22DC373F"/>
    <w:rsid w:val="22DD7494"/>
    <w:rsid w:val="22E37C00"/>
    <w:rsid w:val="22EA1541"/>
    <w:rsid w:val="22EA36B1"/>
    <w:rsid w:val="22ED45A3"/>
    <w:rsid w:val="22FB752E"/>
    <w:rsid w:val="230442F2"/>
    <w:rsid w:val="230810B0"/>
    <w:rsid w:val="230A5B72"/>
    <w:rsid w:val="23105DCF"/>
    <w:rsid w:val="231157BB"/>
    <w:rsid w:val="231503BC"/>
    <w:rsid w:val="2316602B"/>
    <w:rsid w:val="23181B15"/>
    <w:rsid w:val="231E625E"/>
    <w:rsid w:val="23234C69"/>
    <w:rsid w:val="23237B51"/>
    <w:rsid w:val="23351F4C"/>
    <w:rsid w:val="23385C12"/>
    <w:rsid w:val="23481881"/>
    <w:rsid w:val="234B3A9B"/>
    <w:rsid w:val="234B3C74"/>
    <w:rsid w:val="234C16B6"/>
    <w:rsid w:val="23507AFC"/>
    <w:rsid w:val="235128F5"/>
    <w:rsid w:val="235F5371"/>
    <w:rsid w:val="236C1111"/>
    <w:rsid w:val="23735A16"/>
    <w:rsid w:val="23741B16"/>
    <w:rsid w:val="237446B7"/>
    <w:rsid w:val="23747372"/>
    <w:rsid w:val="238F23B6"/>
    <w:rsid w:val="23994841"/>
    <w:rsid w:val="23A02910"/>
    <w:rsid w:val="23A44AAB"/>
    <w:rsid w:val="23B043CE"/>
    <w:rsid w:val="23B17003"/>
    <w:rsid w:val="23B21DA3"/>
    <w:rsid w:val="23B2754C"/>
    <w:rsid w:val="23B3428B"/>
    <w:rsid w:val="23B50EBC"/>
    <w:rsid w:val="23B812F6"/>
    <w:rsid w:val="23CE4094"/>
    <w:rsid w:val="23CF6896"/>
    <w:rsid w:val="23D54270"/>
    <w:rsid w:val="23E5722B"/>
    <w:rsid w:val="23E82706"/>
    <w:rsid w:val="23E8601A"/>
    <w:rsid w:val="23EB70E4"/>
    <w:rsid w:val="23EC21F9"/>
    <w:rsid w:val="240E148B"/>
    <w:rsid w:val="240F50BB"/>
    <w:rsid w:val="24103556"/>
    <w:rsid w:val="241B6C59"/>
    <w:rsid w:val="241C09AB"/>
    <w:rsid w:val="241E042A"/>
    <w:rsid w:val="243B7A26"/>
    <w:rsid w:val="24407667"/>
    <w:rsid w:val="24412AAA"/>
    <w:rsid w:val="24440538"/>
    <w:rsid w:val="24456C68"/>
    <w:rsid w:val="24471426"/>
    <w:rsid w:val="24474FD5"/>
    <w:rsid w:val="2456250B"/>
    <w:rsid w:val="24566C3C"/>
    <w:rsid w:val="2473712F"/>
    <w:rsid w:val="247F14B5"/>
    <w:rsid w:val="247F6AD9"/>
    <w:rsid w:val="24823D2F"/>
    <w:rsid w:val="24843E94"/>
    <w:rsid w:val="24846B96"/>
    <w:rsid w:val="248B21CB"/>
    <w:rsid w:val="248B3D95"/>
    <w:rsid w:val="24A71FB8"/>
    <w:rsid w:val="24B121B4"/>
    <w:rsid w:val="24B76E2C"/>
    <w:rsid w:val="24BB7F0B"/>
    <w:rsid w:val="24BC40D3"/>
    <w:rsid w:val="24C11391"/>
    <w:rsid w:val="24C777F7"/>
    <w:rsid w:val="24CE2862"/>
    <w:rsid w:val="24D01019"/>
    <w:rsid w:val="24D0753B"/>
    <w:rsid w:val="24D169DC"/>
    <w:rsid w:val="24D40E4B"/>
    <w:rsid w:val="24DA5A79"/>
    <w:rsid w:val="24E87DC2"/>
    <w:rsid w:val="24EB1BAF"/>
    <w:rsid w:val="24F43739"/>
    <w:rsid w:val="24FB3ED3"/>
    <w:rsid w:val="24FD2401"/>
    <w:rsid w:val="25014EE2"/>
    <w:rsid w:val="25250D72"/>
    <w:rsid w:val="2547013E"/>
    <w:rsid w:val="25473BD7"/>
    <w:rsid w:val="254E4B49"/>
    <w:rsid w:val="25566AA2"/>
    <w:rsid w:val="25577C11"/>
    <w:rsid w:val="256473B0"/>
    <w:rsid w:val="2565145E"/>
    <w:rsid w:val="256529F2"/>
    <w:rsid w:val="257639FB"/>
    <w:rsid w:val="257A094E"/>
    <w:rsid w:val="257C00EA"/>
    <w:rsid w:val="257C767D"/>
    <w:rsid w:val="257D4215"/>
    <w:rsid w:val="25876F55"/>
    <w:rsid w:val="258E3BD9"/>
    <w:rsid w:val="259763EA"/>
    <w:rsid w:val="25A67A01"/>
    <w:rsid w:val="25C01E1D"/>
    <w:rsid w:val="25C10CCB"/>
    <w:rsid w:val="25D47585"/>
    <w:rsid w:val="25D60BAC"/>
    <w:rsid w:val="25DC6FA1"/>
    <w:rsid w:val="25DC70BB"/>
    <w:rsid w:val="25DE42F1"/>
    <w:rsid w:val="25EC5848"/>
    <w:rsid w:val="25EF133A"/>
    <w:rsid w:val="26163C99"/>
    <w:rsid w:val="261F1C2A"/>
    <w:rsid w:val="2624638A"/>
    <w:rsid w:val="2627012B"/>
    <w:rsid w:val="262835C8"/>
    <w:rsid w:val="262837A6"/>
    <w:rsid w:val="263061FD"/>
    <w:rsid w:val="26392A24"/>
    <w:rsid w:val="263E38AE"/>
    <w:rsid w:val="263F1BCD"/>
    <w:rsid w:val="263F6593"/>
    <w:rsid w:val="26501272"/>
    <w:rsid w:val="26605FB5"/>
    <w:rsid w:val="266F569F"/>
    <w:rsid w:val="2671120B"/>
    <w:rsid w:val="2673490B"/>
    <w:rsid w:val="267B58BE"/>
    <w:rsid w:val="267C41CE"/>
    <w:rsid w:val="2690789A"/>
    <w:rsid w:val="26914502"/>
    <w:rsid w:val="269A6E78"/>
    <w:rsid w:val="26A13D13"/>
    <w:rsid w:val="26A80EB5"/>
    <w:rsid w:val="26C14217"/>
    <w:rsid w:val="26C3488D"/>
    <w:rsid w:val="26CF5E34"/>
    <w:rsid w:val="26D7156C"/>
    <w:rsid w:val="26DC52D1"/>
    <w:rsid w:val="26E14549"/>
    <w:rsid w:val="26E42D4E"/>
    <w:rsid w:val="26E446AB"/>
    <w:rsid w:val="26F7656A"/>
    <w:rsid w:val="26FC43D5"/>
    <w:rsid w:val="27025F50"/>
    <w:rsid w:val="270867AA"/>
    <w:rsid w:val="270D21AC"/>
    <w:rsid w:val="27130559"/>
    <w:rsid w:val="271B6FDC"/>
    <w:rsid w:val="27206079"/>
    <w:rsid w:val="27282EA2"/>
    <w:rsid w:val="27292C9F"/>
    <w:rsid w:val="272D7F96"/>
    <w:rsid w:val="27355AC5"/>
    <w:rsid w:val="27495DBA"/>
    <w:rsid w:val="2756784B"/>
    <w:rsid w:val="275B280F"/>
    <w:rsid w:val="27627C46"/>
    <w:rsid w:val="276F5575"/>
    <w:rsid w:val="27794F84"/>
    <w:rsid w:val="277A0ABA"/>
    <w:rsid w:val="277B6914"/>
    <w:rsid w:val="27996611"/>
    <w:rsid w:val="279D6246"/>
    <w:rsid w:val="27A054BB"/>
    <w:rsid w:val="27BA71B5"/>
    <w:rsid w:val="27BB46D3"/>
    <w:rsid w:val="27BD4923"/>
    <w:rsid w:val="27C014DB"/>
    <w:rsid w:val="27D71654"/>
    <w:rsid w:val="27E264A2"/>
    <w:rsid w:val="27F15433"/>
    <w:rsid w:val="27F23029"/>
    <w:rsid w:val="27F313D0"/>
    <w:rsid w:val="27F83858"/>
    <w:rsid w:val="27FC3CE9"/>
    <w:rsid w:val="281654F3"/>
    <w:rsid w:val="28210626"/>
    <w:rsid w:val="2827056E"/>
    <w:rsid w:val="282709D0"/>
    <w:rsid w:val="282A7522"/>
    <w:rsid w:val="28331501"/>
    <w:rsid w:val="28385893"/>
    <w:rsid w:val="28385ED5"/>
    <w:rsid w:val="284D66B3"/>
    <w:rsid w:val="285D63C8"/>
    <w:rsid w:val="285F41D7"/>
    <w:rsid w:val="28695E6C"/>
    <w:rsid w:val="286B5D42"/>
    <w:rsid w:val="286C1BAF"/>
    <w:rsid w:val="286E63B2"/>
    <w:rsid w:val="287A033E"/>
    <w:rsid w:val="288337F7"/>
    <w:rsid w:val="28866F6B"/>
    <w:rsid w:val="28936E67"/>
    <w:rsid w:val="28996C7D"/>
    <w:rsid w:val="28B14158"/>
    <w:rsid w:val="28B245D4"/>
    <w:rsid w:val="28B805EE"/>
    <w:rsid w:val="28B97A98"/>
    <w:rsid w:val="28BA04FE"/>
    <w:rsid w:val="28C06676"/>
    <w:rsid w:val="28C724A9"/>
    <w:rsid w:val="28C841CA"/>
    <w:rsid w:val="28CB4CBE"/>
    <w:rsid w:val="28D85D54"/>
    <w:rsid w:val="28DA48BF"/>
    <w:rsid w:val="28E30B09"/>
    <w:rsid w:val="28E674BD"/>
    <w:rsid w:val="28EF1377"/>
    <w:rsid w:val="28FD06A0"/>
    <w:rsid w:val="290078C9"/>
    <w:rsid w:val="290309EC"/>
    <w:rsid w:val="29127071"/>
    <w:rsid w:val="29175049"/>
    <w:rsid w:val="291D1583"/>
    <w:rsid w:val="2923195C"/>
    <w:rsid w:val="29310BAE"/>
    <w:rsid w:val="2935763B"/>
    <w:rsid w:val="29465615"/>
    <w:rsid w:val="29471F6E"/>
    <w:rsid w:val="29591B02"/>
    <w:rsid w:val="296318B5"/>
    <w:rsid w:val="29827EA9"/>
    <w:rsid w:val="29905445"/>
    <w:rsid w:val="2991241D"/>
    <w:rsid w:val="29922DFA"/>
    <w:rsid w:val="29936585"/>
    <w:rsid w:val="2996333A"/>
    <w:rsid w:val="29A567F1"/>
    <w:rsid w:val="29B2720D"/>
    <w:rsid w:val="29CB22C6"/>
    <w:rsid w:val="29D467DE"/>
    <w:rsid w:val="29E93DAD"/>
    <w:rsid w:val="29EA24E1"/>
    <w:rsid w:val="29EE24AE"/>
    <w:rsid w:val="29F20751"/>
    <w:rsid w:val="29F36AF7"/>
    <w:rsid w:val="29F64DF0"/>
    <w:rsid w:val="29F95454"/>
    <w:rsid w:val="29FC0CB2"/>
    <w:rsid w:val="29FF096B"/>
    <w:rsid w:val="2A054A8B"/>
    <w:rsid w:val="2A094785"/>
    <w:rsid w:val="2A0C3790"/>
    <w:rsid w:val="2A0F3A8E"/>
    <w:rsid w:val="2A126AAC"/>
    <w:rsid w:val="2A2A2BC3"/>
    <w:rsid w:val="2A330AC8"/>
    <w:rsid w:val="2A53134A"/>
    <w:rsid w:val="2A5328B9"/>
    <w:rsid w:val="2A5A3973"/>
    <w:rsid w:val="2A5D5F14"/>
    <w:rsid w:val="2A7C6562"/>
    <w:rsid w:val="2A7F0FA4"/>
    <w:rsid w:val="2A893962"/>
    <w:rsid w:val="2A8D3172"/>
    <w:rsid w:val="2A8E70FA"/>
    <w:rsid w:val="2A8F45E9"/>
    <w:rsid w:val="2A916BD9"/>
    <w:rsid w:val="2A9D4B38"/>
    <w:rsid w:val="2AA03C0B"/>
    <w:rsid w:val="2AA25B4D"/>
    <w:rsid w:val="2AAF67E2"/>
    <w:rsid w:val="2AB43D92"/>
    <w:rsid w:val="2AB71E81"/>
    <w:rsid w:val="2AC10DE8"/>
    <w:rsid w:val="2AC11911"/>
    <w:rsid w:val="2AC868B7"/>
    <w:rsid w:val="2ACC6349"/>
    <w:rsid w:val="2AD81452"/>
    <w:rsid w:val="2AE14C9D"/>
    <w:rsid w:val="2AE63022"/>
    <w:rsid w:val="2AEE1D9E"/>
    <w:rsid w:val="2AF27530"/>
    <w:rsid w:val="2AF374D3"/>
    <w:rsid w:val="2AF43D74"/>
    <w:rsid w:val="2B0758A5"/>
    <w:rsid w:val="2B0A4C1B"/>
    <w:rsid w:val="2B2231DC"/>
    <w:rsid w:val="2B241B55"/>
    <w:rsid w:val="2B255882"/>
    <w:rsid w:val="2B2F61A9"/>
    <w:rsid w:val="2B311793"/>
    <w:rsid w:val="2B3B7A55"/>
    <w:rsid w:val="2B3F42E7"/>
    <w:rsid w:val="2B4537D2"/>
    <w:rsid w:val="2B490DC2"/>
    <w:rsid w:val="2B5149B3"/>
    <w:rsid w:val="2B5F0040"/>
    <w:rsid w:val="2B621795"/>
    <w:rsid w:val="2B6459E1"/>
    <w:rsid w:val="2B6502AC"/>
    <w:rsid w:val="2B7276AD"/>
    <w:rsid w:val="2B7A7BC2"/>
    <w:rsid w:val="2B7B305B"/>
    <w:rsid w:val="2B7E4971"/>
    <w:rsid w:val="2B880568"/>
    <w:rsid w:val="2B9A6230"/>
    <w:rsid w:val="2BA92FD5"/>
    <w:rsid w:val="2BB32323"/>
    <w:rsid w:val="2BC027FC"/>
    <w:rsid w:val="2BC675E9"/>
    <w:rsid w:val="2BD53F91"/>
    <w:rsid w:val="2BDB351E"/>
    <w:rsid w:val="2BE0706B"/>
    <w:rsid w:val="2BE84B64"/>
    <w:rsid w:val="2BE90567"/>
    <w:rsid w:val="2BEA7E9B"/>
    <w:rsid w:val="2BF04D38"/>
    <w:rsid w:val="2BF407AB"/>
    <w:rsid w:val="2BF443AE"/>
    <w:rsid w:val="2BF923AB"/>
    <w:rsid w:val="2BFE2DA4"/>
    <w:rsid w:val="2C0312CB"/>
    <w:rsid w:val="2C080305"/>
    <w:rsid w:val="2C0D228C"/>
    <w:rsid w:val="2C210B2E"/>
    <w:rsid w:val="2C2A72DB"/>
    <w:rsid w:val="2C2D5946"/>
    <w:rsid w:val="2C493414"/>
    <w:rsid w:val="2C4A28B0"/>
    <w:rsid w:val="2C4A3D65"/>
    <w:rsid w:val="2C4F2E8C"/>
    <w:rsid w:val="2C565957"/>
    <w:rsid w:val="2C632B9A"/>
    <w:rsid w:val="2C6C7ACF"/>
    <w:rsid w:val="2C867513"/>
    <w:rsid w:val="2C8755E8"/>
    <w:rsid w:val="2CC172C1"/>
    <w:rsid w:val="2CC223BE"/>
    <w:rsid w:val="2CC81BB7"/>
    <w:rsid w:val="2CD56B9C"/>
    <w:rsid w:val="2CD8768B"/>
    <w:rsid w:val="2CE069F3"/>
    <w:rsid w:val="2CE7056D"/>
    <w:rsid w:val="2CF2064D"/>
    <w:rsid w:val="2CFB1259"/>
    <w:rsid w:val="2CFC6F50"/>
    <w:rsid w:val="2D0B5834"/>
    <w:rsid w:val="2D134AE2"/>
    <w:rsid w:val="2D162059"/>
    <w:rsid w:val="2D1E489A"/>
    <w:rsid w:val="2D2B1375"/>
    <w:rsid w:val="2D2B40FF"/>
    <w:rsid w:val="2D367554"/>
    <w:rsid w:val="2D402ABE"/>
    <w:rsid w:val="2D461940"/>
    <w:rsid w:val="2D4803C2"/>
    <w:rsid w:val="2D4B43A3"/>
    <w:rsid w:val="2D570139"/>
    <w:rsid w:val="2D605FC2"/>
    <w:rsid w:val="2D6253ED"/>
    <w:rsid w:val="2D697CA7"/>
    <w:rsid w:val="2D6E70C0"/>
    <w:rsid w:val="2D722D0B"/>
    <w:rsid w:val="2D7517E9"/>
    <w:rsid w:val="2D763024"/>
    <w:rsid w:val="2D781C06"/>
    <w:rsid w:val="2D7B2AA1"/>
    <w:rsid w:val="2D7B4F43"/>
    <w:rsid w:val="2D8A6171"/>
    <w:rsid w:val="2D8C53F3"/>
    <w:rsid w:val="2D9D1E90"/>
    <w:rsid w:val="2DA27E32"/>
    <w:rsid w:val="2DA76CE3"/>
    <w:rsid w:val="2DAF5B8D"/>
    <w:rsid w:val="2DBE2C22"/>
    <w:rsid w:val="2DD30D24"/>
    <w:rsid w:val="2DD644DB"/>
    <w:rsid w:val="2DD90C2E"/>
    <w:rsid w:val="2DDC4CA6"/>
    <w:rsid w:val="2DDD1A18"/>
    <w:rsid w:val="2DE76E87"/>
    <w:rsid w:val="2DE974D2"/>
    <w:rsid w:val="2DFF0C48"/>
    <w:rsid w:val="2E0304B0"/>
    <w:rsid w:val="2E0A32EC"/>
    <w:rsid w:val="2E0F6FAC"/>
    <w:rsid w:val="2E1D2583"/>
    <w:rsid w:val="2E1D485F"/>
    <w:rsid w:val="2E2508A7"/>
    <w:rsid w:val="2E397159"/>
    <w:rsid w:val="2E3E621B"/>
    <w:rsid w:val="2E492BD8"/>
    <w:rsid w:val="2E4A0EB0"/>
    <w:rsid w:val="2E4D1158"/>
    <w:rsid w:val="2E4E5B62"/>
    <w:rsid w:val="2E4E789F"/>
    <w:rsid w:val="2E52123F"/>
    <w:rsid w:val="2E533F5B"/>
    <w:rsid w:val="2E581B90"/>
    <w:rsid w:val="2E5D130A"/>
    <w:rsid w:val="2E744332"/>
    <w:rsid w:val="2E7B69BB"/>
    <w:rsid w:val="2E802A38"/>
    <w:rsid w:val="2E834736"/>
    <w:rsid w:val="2E8A1AD5"/>
    <w:rsid w:val="2E8D713E"/>
    <w:rsid w:val="2E974705"/>
    <w:rsid w:val="2E9E1A27"/>
    <w:rsid w:val="2E9F4713"/>
    <w:rsid w:val="2EA30A99"/>
    <w:rsid w:val="2EA352DC"/>
    <w:rsid w:val="2EA44470"/>
    <w:rsid w:val="2EA705CF"/>
    <w:rsid w:val="2EA8405F"/>
    <w:rsid w:val="2EBC691B"/>
    <w:rsid w:val="2EBD6C4D"/>
    <w:rsid w:val="2EC129F8"/>
    <w:rsid w:val="2ECA7C1F"/>
    <w:rsid w:val="2ED959CF"/>
    <w:rsid w:val="2EDB7862"/>
    <w:rsid w:val="2EDC2FFA"/>
    <w:rsid w:val="2EE861EB"/>
    <w:rsid w:val="2EED2693"/>
    <w:rsid w:val="2EF43152"/>
    <w:rsid w:val="2EF55A24"/>
    <w:rsid w:val="2F003B1E"/>
    <w:rsid w:val="2F0A1D54"/>
    <w:rsid w:val="2F0E524D"/>
    <w:rsid w:val="2F25645D"/>
    <w:rsid w:val="2F2C2835"/>
    <w:rsid w:val="2F2C36AB"/>
    <w:rsid w:val="2F3E0E69"/>
    <w:rsid w:val="2F4B0EBF"/>
    <w:rsid w:val="2F4C3D79"/>
    <w:rsid w:val="2F5D6DB2"/>
    <w:rsid w:val="2F643B76"/>
    <w:rsid w:val="2F685035"/>
    <w:rsid w:val="2F697E02"/>
    <w:rsid w:val="2F751492"/>
    <w:rsid w:val="2F7E660B"/>
    <w:rsid w:val="2F8349E1"/>
    <w:rsid w:val="2F9E3F3B"/>
    <w:rsid w:val="2FA34F86"/>
    <w:rsid w:val="2FCE6CD1"/>
    <w:rsid w:val="2FE21D5C"/>
    <w:rsid w:val="2FE32A8A"/>
    <w:rsid w:val="2FE5000F"/>
    <w:rsid w:val="2FF27FD2"/>
    <w:rsid w:val="2FFC00BE"/>
    <w:rsid w:val="2FFF0BC6"/>
    <w:rsid w:val="30007F7D"/>
    <w:rsid w:val="300A0D47"/>
    <w:rsid w:val="303D2B6F"/>
    <w:rsid w:val="3046513A"/>
    <w:rsid w:val="304D3FE9"/>
    <w:rsid w:val="305914FE"/>
    <w:rsid w:val="305F1032"/>
    <w:rsid w:val="306014C5"/>
    <w:rsid w:val="307237B7"/>
    <w:rsid w:val="307A7DF3"/>
    <w:rsid w:val="3082756B"/>
    <w:rsid w:val="30832F2C"/>
    <w:rsid w:val="309A2B0E"/>
    <w:rsid w:val="30A934FD"/>
    <w:rsid w:val="30AB20E1"/>
    <w:rsid w:val="30AC09BB"/>
    <w:rsid w:val="30AC439C"/>
    <w:rsid w:val="30AE7BA8"/>
    <w:rsid w:val="30B06197"/>
    <w:rsid w:val="30BF68CE"/>
    <w:rsid w:val="30C20005"/>
    <w:rsid w:val="30C3708C"/>
    <w:rsid w:val="30D70EDC"/>
    <w:rsid w:val="30D84FE4"/>
    <w:rsid w:val="30D97A47"/>
    <w:rsid w:val="30EC45EA"/>
    <w:rsid w:val="30F3729C"/>
    <w:rsid w:val="30F41955"/>
    <w:rsid w:val="30F85C4A"/>
    <w:rsid w:val="310007ED"/>
    <w:rsid w:val="31000962"/>
    <w:rsid w:val="31025BB9"/>
    <w:rsid w:val="3104576A"/>
    <w:rsid w:val="31071807"/>
    <w:rsid w:val="3109325E"/>
    <w:rsid w:val="3115434B"/>
    <w:rsid w:val="311A38C9"/>
    <w:rsid w:val="31363BDF"/>
    <w:rsid w:val="31370B06"/>
    <w:rsid w:val="313826AF"/>
    <w:rsid w:val="313A659C"/>
    <w:rsid w:val="31451C41"/>
    <w:rsid w:val="31472A55"/>
    <w:rsid w:val="314E7D8D"/>
    <w:rsid w:val="3153776E"/>
    <w:rsid w:val="315848C1"/>
    <w:rsid w:val="315A0FBA"/>
    <w:rsid w:val="316409B3"/>
    <w:rsid w:val="31696674"/>
    <w:rsid w:val="31766E50"/>
    <w:rsid w:val="31781917"/>
    <w:rsid w:val="31794A07"/>
    <w:rsid w:val="317D5A6A"/>
    <w:rsid w:val="31896830"/>
    <w:rsid w:val="31897D92"/>
    <w:rsid w:val="319046AF"/>
    <w:rsid w:val="319330CD"/>
    <w:rsid w:val="31B53B61"/>
    <w:rsid w:val="31BC50DF"/>
    <w:rsid w:val="31C457F5"/>
    <w:rsid w:val="31C55451"/>
    <w:rsid w:val="31D23400"/>
    <w:rsid w:val="31D3573D"/>
    <w:rsid w:val="31D8538D"/>
    <w:rsid w:val="31EB6A9D"/>
    <w:rsid w:val="31F9254B"/>
    <w:rsid w:val="32081905"/>
    <w:rsid w:val="320B3393"/>
    <w:rsid w:val="320C0F4F"/>
    <w:rsid w:val="321171F8"/>
    <w:rsid w:val="321815EF"/>
    <w:rsid w:val="32190690"/>
    <w:rsid w:val="32261845"/>
    <w:rsid w:val="322F1851"/>
    <w:rsid w:val="32324F44"/>
    <w:rsid w:val="323546B6"/>
    <w:rsid w:val="323934F0"/>
    <w:rsid w:val="324152FF"/>
    <w:rsid w:val="32422CCB"/>
    <w:rsid w:val="32520FF5"/>
    <w:rsid w:val="32553D33"/>
    <w:rsid w:val="325D3D29"/>
    <w:rsid w:val="32635667"/>
    <w:rsid w:val="3265718C"/>
    <w:rsid w:val="326B06EA"/>
    <w:rsid w:val="326C6AFE"/>
    <w:rsid w:val="3271107F"/>
    <w:rsid w:val="327D589B"/>
    <w:rsid w:val="3290138E"/>
    <w:rsid w:val="329031F4"/>
    <w:rsid w:val="32A81A16"/>
    <w:rsid w:val="32AA3449"/>
    <w:rsid w:val="32AE4675"/>
    <w:rsid w:val="32B0174E"/>
    <w:rsid w:val="32B436B5"/>
    <w:rsid w:val="32B82506"/>
    <w:rsid w:val="32C279B6"/>
    <w:rsid w:val="32CF72A0"/>
    <w:rsid w:val="32D22AB6"/>
    <w:rsid w:val="32D63A18"/>
    <w:rsid w:val="32D642DD"/>
    <w:rsid w:val="32DC1026"/>
    <w:rsid w:val="32DD122A"/>
    <w:rsid w:val="32EF42A6"/>
    <w:rsid w:val="32F25895"/>
    <w:rsid w:val="32FC0A5C"/>
    <w:rsid w:val="33010E30"/>
    <w:rsid w:val="33043DBF"/>
    <w:rsid w:val="33050618"/>
    <w:rsid w:val="33096F2D"/>
    <w:rsid w:val="3317473A"/>
    <w:rsid w:val="331954C6"/>
    <w:rsid w:val="331A7CEB"/>
    <w:rsid w:val="332C295B"/>
    <w:rsid w:val="33457A89"/>
    <w:rsid w:val="3346136E"/>
    <w:rsid w:val="334A3B7C"/>
    <w:rsid w:val="335631BB"/>
    <w:rsid w:val="33606128"/>
    <w:rsid w:val="33685975"/>
    <w:rsid w:val="3370251D"/>
    <w:rsid w:val="337702D1"/>
    <w:rsid w:val="33776C71"/>
    <w:rsid w:val="33817975"/>
    <w:rsid w:val="33866FD5"/>
    <w:rsid w:val="3393549B"/>
    <w:rsid w:val="33951418"/>
    <w:rsid w:val="33C04743"/>
    <w:rsid w:val="33C050FD"/>
    <w:rsid w:val="33C52574"/>
    <w:rsid w:val="33CC380B"/>
    <w:rsid w:val="33D22E6F"/>
    <w:rsid w:val="33D47901"/>
    <w:rsid w:val="33FC7ACE"/>
    <w:rsid w:val="340519BF"/>
    <w:rsid w:val="342448CB"/>
    <w:rsid w:val="343163E4"/>
    <w:rsid w:val="34341E72"/>
    <w:rsid w:val="34373FB0"/>
    <w:rsid w:val="34565FD2"/>
    <w:rsid w:val="346019FD"/>
    <w:rsid w:val="34610553"/>
    <w:rsid w:val="3465434B"/>
    <w:rsid w:val="34665F40"/>
    <w:rsid w:val="346C5EAF"/>
    <w:rsid w:val="3470024E"/>
    <w:rsid w:val="34715D02"/>
    <w:rsid w:val="34804170"/>
    <w:rsid w:val="348E011E"/>
    <w:rsid w:val="34A83CB4"/>
    <w:rsid w:val="34B1358C"/>
    <w:rsid w:val="34B54008"/>
    <w:rsid w:val="34B83C75"/>
    <w:rsid w:val="34BA3810"/>
    <w:rsid w:val="34BA7A31"/>
    <w:rsid w:val="34BB2DC8"/>
    <w:rsid w:val="34C06601"/>
    <w:rsid w:val="34C10A6E"/>
    <w:rsid w:val="34D243BB"/>
    <w:rsid w:val="34D55E94"/>
    <w:rsid w:val="34D6782E"/>
    <w:rsid w:val="34DF0592"/>
    <w:rsid w:val="34EA109C"/>
    <w:rsid w:val="34F175A3"/>
    <w:rsid w:val="35002F3A"/>
    <w:rsid w:val="35051A47"/>
    <w:rsid w:val="350B7FFB"/>
    <w:rsid w:val="350D4A1B"/>
    <w:rsid w:val="351A2528"/>
    <w:rsid w:val="351B31FE"/>
    <w:rsid w:val="351C4D31"/>
    <w:rsid w:val="35215587"/>
    <w:rsid w:val="352D22CE"/>
    <w:rsid w:val="35380455"/>
    <w:rsid w:val="35405199"/>
    <w:rsid w:val="35475E4F"/>
    <w:rsid w:val="354B7EEE"/>
    <w:rsid w:val="355048EB"/>
    <w:rsid w:val="355B6D22"/>
    <w:rsid w:val="355F559B"/>
    <w:rsid w:val="35647997"/>
    <w:rsid w:val="356A2264"/>
    <w:rsid w:val="356C269E"/>
    <w:rsid w:val="356F1EB0"/>
    <w:rsid w:val="357967E3"/>
    <w:rsid w:val="358829A3"/>
    <w:rsid w:val="358B6DBD"/>
    <w:rsid w:val="35917892"/>
    <w:rsid w:val="359620FA"/>
    <w:rsid w:val="359D47BC"/>
    <w:rsid w:val="359E6536"/>
    <w:rsid w:val="35A310B7"/>
    <w:rsid w:val="35A52289"/>
    <w:rsid w:val="35A90648"/>
    <w:rsid w:val="35C0590E"/>
    <w:rsid w:val="35C717BE"/>
    <w:rsid w:val="35C77E13"/>
    <w:rsid w:val="35C9734A"/>
    <w:rsid w:val="35CB1097"/>
    <w:rsid w:val="35D344F8"/>
    <w:rsid w:val="35E9527E"/>
    <w:rsid w:val="35EF798F"/>
    <w:rsid w:val="35FC506A"/>
    <w:rsid w:val="35FF1B27"/>
    <w:rsid w:val="360124AF"/>
    <w:rsid w:val="360330A9"/>
    <w:rsid w:val="36060E47"/>
    <w:rsid w:val="36141464"/>
    <w:rsid w:val="361A27B6"/>
    <w:rsid w:val="362A3F15"/>
    <w:rsid w:val="36343A3C"/>
    <w:rsid w:val="363705EA"/>
    <w:rsid w:val="363A6B5B"/>
    <w:rsid w:val="364C4B68"/>
    <w:rsid w:val="364C7CB6"/>
    <w:rsid w:val="36504B05"/>
    <w:rsid w:val="3652713A"/>
    <w:rsid w:val="365639EE"/>
    <w:rsid w:val="365860F7"/>
    <w:rsid w:val="365E3CE9"/>
    <w:rsid w:val="36623943"/>
    <w:rsid w:val="366A0150"/>
    <w:rsid w:val="3673441F"/>
    <w:rsid w:val="3676248F"/>
    <w:rsid w:val="367650EF"/>
    <w:rsid w:val="367B11BB"/>
    <w:rsid w:val="367C43EF"/>
    <w:rsid w:val="36827427"/>
    <w:rsid w:val="36842EB4"/>
    <w:rsid w:val="368B753F"/>
    <w:rsid w:val="368C42E0"/>
    <w:rsid w:val="36944B03"/>
    <w:rsid w:val="369B2584"/>
    <w:rsid w:val="369B68FF"/>
    <w:rsid w:val="36A41EAA"/>
    <w:rsid w:val="36A7293A"/>
    <w:rsid w:val="36A87B1D"/>
    <w:rsid w:val="36B07A48"/>
    <w:rsid w:val="36B44908"/>
    <w:rsid w:val="36B948D2"/>
    <w:rsid w:val="36B96580"/>
    <w:rsid w:val="36DA0F92"/>
    <w:rsid w:val="36E27868"/>
    <w:rsid w:val="36F12E7A"/>
    <w:rsid w:val="36F34DD9"/>
    <w:rsid w:val="37014253"/>
    <w:rsid w:val="37024D60"/>
    <w:rsid w:val="370C36B2"/>
    <w:rsid w:val="370E3825"/>
    <w:rsid w:val="370F34B5"/>
    <w:rsid w:val="37180B6A"/>
    <w:rsid w:val="371D0320"/>
    <w:rsid w:val="37207FBD"/>
    <w:rsid w:val="37236DAD"/>
    <w:rsid w:val="372E36C5"/>
    <w:rsid w:val="37306C3F"/>
    <w:rsid w:val="373B1590"/>
    <w:rsid w:val="374006E7"/>
    <w:rsid w:val="37406E8C"/>
    <w:rsid w:val="37430864"/>
    <w:rsid w:val="3743779A"/>
    <w:rsid w:val="3745194E"/>
    <w:rsid w:val="374B4DD6"/>
    <w:rsid w:val="3752642D"/>
    <w:rsid w:val="37533957"/>
    <w:rsid w:val="37577D75"/>
    <w:rsid w:val="375B5E92"/>
    <w:rsid w:val="37614358"/>
    <w:rsid w:val="37632525"/>
    <w:rsid w:val="376838BF"/>
    <w:rsid w:val="3789602C"/>
    <w:rsid w:val="378A0031"/>
    <w:rsid w:val="37980CFB"/>
    <w:rsid w:val="37A57E65"/>
    <w:rsid w:val="37BC3079"/>
    <w:rsid w:val="37C750E8"/>
    <w:rsid w:val="37D877C9"/>
    <w:rsid w:val="37D91858"/>
    <w:rsid w:val="37E200BE"/>
    <w:rsid w:val="37E3018E"/>
    <w:rsid w:val="37E47D0D"/>
    <w:rsid w:val="37E51F96"/>
    <w:rsid w:val="37E74626"/>
    <w:rsid w:val="37FC32DA"/>
    <w:rsid w:val="380C70C7"/>
    <w:rsid w:val="3819262D"/>
    <w:rsid w:val="38193278"/>
    <w:rsid w:val="381B59BA"/>
    <w:rsid w:val="381C4D33"/>
    <w:rsid w:val="381E3FA1"/>
    <w:rsid w:val="38262CE6"/>
    <w:rsid w:val="38276A70"/>
    <w:rsid w:val="38351B62"/>
    <w:rsid w:val="3836143E"/>
    <w:rsid w:val="3837100C"/>
    <w:rsid w:val="38372808"/>
    <w:rsid w:val="38581FBE"/>
    <w:rsid w:val="385A0764"/>
    <w:rsid w:val="385A7172"/>
    <w:rsid w:val="386B77C1"/>
    <w:rsid w:val="38717DDF"/>
    <w:rsid w:val="387F5736"/>
    <w:rsid w:val="38837005"/>
    <w:rsid w:val="38847305"/>
    <w:rsid w:val="388B443C"/>
    <w:rsid w:val="389A0B38"/>
    <w:rsid w:val="38A428F6"/>
    <w:rsid w:val="38C613C9"/>
    <w:rsid w:val="38CD5E66"/>
    <w:rsid w:val="38D869E6"/>
    <w:rsid w:val="38DC67B6"/>
    <w:rsid w:val="38E02927"/>
    <w:rsid w:val="38E21CE5"/>
    <w:rsid w:val="38E45A3E"/>
    <w:rsid w:val="38EF0E82"/>
    <w:rsid w:val="38F867F8"/>
    <w:rsid w:val="38FB35D7"/>
    <w:rsid w:val="390C2552"/>
    <w:rsid w:val="39117E95"/>
    <w:rsid w:val="3913436F"/>
    <w:rsid w:val="391B5488"/>
    <w:rsid w:val="392A055C"/>
    <w:rsid w:val="392C09F0"/>
    <w:rsid w:val="392C7F4E"/>
    <w:rsid w:val="392D1C54"/>
    <w:rsid w:val="39342AE6"/>
    <w:rsid w:val="3935600D"/>
    <w:rsid w:val="393E20B6"/>
    <w:rsid w:val="39414F3E"/>
    <w:rsid w:val="394311B9"/>
    <w:rsid w:val="3944504B"/>
    <w:rsid w:val="395074D7"/>
    <w:rsid w:val="395A0033"/>
    <w:rsid w:val="395B549F"/>
    <w:rsid w:val="39630C9B"/>
    <w:rsid w:val="3968774F"/>
    <w:rsid w:val="397D6F8B"/>
    <w:rsid w:val="39802CB2"/>
    <w:rsid w:val="39854747"/>
    <w:rsid w:val="399E1469"/>
    <w:rsid w:val="399E5950"/>
    <w:rsid w:val="39A4560C"/>
    <w:rsid w:val="39A9077A"/>
    <w:rsid w:val="39AD1B57"/>
    <w:rsid w:val="39AD4138"/>
    <w:rsid w:val="39BB28BF"/>
    <w:rsid w:val="39C26AE1"/>
    <w:rsid w:val="39C53BAF"/>
    <w:rsid w:val="39CB182A"/>
    <w:rsid w:val="39DB66F9"/>
    <w:rsid w:val="39EE738E"/>
    <w:rsid w:val="39EF4678"/>
    <w:rsid w:val="39F07DEE"/>
    <w:rsid w:val="39F476C8"/>
    <w:rsid w:val="39F6072A"/>
    <w:rsid w:val="3A0B212A"/>
    <w:rsid w:val="3A274C35"/>
    <w:rsid w:val="3A2A0589"/>
    <w:rsid w:val="3A2A09AF"/>
    <w:rsid w:val="3A3415F8"/>
    <w:rsid w:val="3A3473FD"/>
    <w:rsid w:val="3A366153"/>
    <w:rsid w:val="3A3A47E9"/>
    <w:rsid w:val="3A3E12B0"/>
    <w:rsid w:val="3A40242A"/>
    <w:rsid w:val="3A433AEC"/>
    <w:rsid w:val="3A4508EB"/>
    <w:rsid w:val="3A4819BA"/>
    <w:rsid w:val="3A4F610B"/>
    <w:rsid w:val="3A690090"/>
    <w:rsid w:val="3A697FC4"/>
    <w:rsid w:val="3A7E1037"/>
    <w:rsid w:val="3A827AC5"/>
    <w:rsid w:val="3A942D4E"/>
    <w:rsid w:val="3AA6276C"/>
    <w:rsid w:val="3AAB08B1"/>
    <w:rsid w:val="3AAB7D8C"/>
    <w:rsid w:val="3ABA4904"/>
    <w:rsid w:val="3ABF24EC"/>
    <w:rsid w:val="3AC45533"/>
    <w:rsid w:val="3AD95C1E"/>
    <w:rsid w:val="3ADB58CE"/>
    <w:rsid w:val="3AE44C59"/>
    <w:rsid w:val="3AE80592"/>
    <w:rsid w:val="3AF013D7"/>
    <w:rsid w:val="3AF02224"/>
    <w:rsid w:val="3AF81347"/>
    <w:rsid w:val="3B056693"/>
    <w:rsid w:val="3B085F3F"/>
    <w:rsid w:val="3B0A6F96"/>
    <w:rsid w:val="3B103C99"/>
    <w:rsid w:val="3B141529"/>
    <w:rsid w:val="3B1577E2"/>
    <w:rsid w:val="3B1C6790"/>
    <w:rsid w:val="3B265959"/>
    <w:rsid w:val="3B2B0D4D"/>
    <w:rsid w:val="3B2D5EFB"/>
    <w:rsid w:val="3B434372"/>
    <w:rsid w:val="3B4C20C7"/>
    <w:rsid w:val="3B65118E"/>
    <w:rsid w:val="3B760106"/>
    <w:rsid w:val="3B80199D"/>
    <w:rsid w:val="3B894B91"/>
    <w:rsid w:val="3B8F3936"/>
    <w:rsid w:val="3B922B3C"/>
    <w:rsid w:val="3B957660"/>
    <w:rsid w:val="3BA441D3"/>
    <w:rsid w:val="3BBE278D"/>
    <w:rsid w:val="3BC62AA9"/>
    <w:rsid w:val="3BC722A4"/>
    <w:rsid w:val="3BCA7515"/>
    <w:rsid w:val="3BD70538"/>
    <w:rsid w:val="3BDF12D0"/>
    <w:rsid w:val="3BE748CF"/>
    <w:rsid w:val="3BE91490"/>
    <w:rsid w:val="3BEC6103"/>
    <w:rsid w:val="3BF0566B"/>
    <w:rsid w:val="3BF12A61"/>
    <w:rsid w:val="3BF70CDF"/>
    <w:rsid w:val="3BFB3071"/>
    <w:rsid w:val="3BFB364F"/>
    <w:rsid w:val="3C05384C"/>
    <w:rsid w:val="3C0775AA"/>
    <w:rsid w:val="3C104F03"/>
    <w:rsid w:val="3C1234B8"/>
    <w:rsid w:val="3C1C1DB3"/>
    <w:rsid w:val="3C221645"/>
    <w:rsid w:val="3C2C37B8"/>
    <w:rsid w:val="3C31221C"/>
    <w:rsid w:val="3C347AB1"/>
    <w:rsid w:val="3C376403"/>
    <w:rsid w:val="3C393E7B"/>
    <w:rsid w:val="3C3E25F2"/>
    <w:rsid w:val="3C4143B0"/>
    <w:rsid w:val="3C4267B7"/>
    <w:rsid w:val="3C4B674D"/>
    <w:rsid w:val="3C5C1552"/>
    <w:rsid w:val="3C5F7D1B"/>
    <w:rsid w:val="3C683F7D"/>
    <w:rsid w:val="3C78107B"/>
    <w:rsid w:val="3C7A30F2"/>
    <w:rsid w:val="3C7F0EC4"/>
    <w:rsid w:val="3C85587F"/>
    <w:rsid w:val="3C875F69"/>
    <w:rsid w:val="3C910070"/>
    <w:rsid w:val="3C980BC7"/>
    <w:rsid w:val="3CA137CF"/>
    <w:rsid w:val="3CA2399F"/>
    <w:rsid w:val="3CAD0C76"/>
    <w:rsid w:val="3CB433B2"/>
    <w:rsid w:val="3CC23406"/>
    <w:rsid w:val="3CC87601"/>
    <w:rsid w:val="3CC926B4"/>
    <w:rsid w:val="3CD32844"/>
    <w:rsid w:val="3CD92B8A"/>
    <w:rsid w:val="3CE406A8"/>
    <w:rsid w:val="3CE92E72"/>
    <w:rsid w:val="3CEB09FD"/>
    <w:rsid w:val="3CED49BC"/>
    <w:rsid w:val="3D0051AA"/>
    <w:rsid w:val="3D017E5A"/>
    <w:rsid w:val="3D070D25"/>
    <w:rsid w:val="3D102D06"/>
    <w:rsid w:val="3D1D7161"/>
    <w:rsid w:val="3D2818F3"/>
    <w:rsid w:val="3D2A3F92"/>
    <w:rsid w:val="3D2F3750"/>
    <w:rsid w:val="3D3066E1"/>
    <w:rsid w:val="3D306D8D"/>
    <w:rsid w:val="3D310612"/>
    <w:rsid w:val="3D323441"/>
    <w:rsid w:val="3D341057"/>
    <w:rsid w:val="3D54710E"/>
    <w:rsid w:val="3D5872E7"/>
    <w:rsid w:val="3D59710B"/>
    <w:rsid w:val="3D690D2F"/>
    <w:rsid w:val="3D737D5E"/>
    <w:rsid w:val="3D765F46"/>
    <w:rsid w:val="3D826B1D"/>
    <w:rsid w:val="3D83457E"/>
    <w:rsid w:val="3D846AAB"/>
    <w:rsid w:val="3D8E24EC"/>
    <w:rsid w:val="3D947081"/>
    <w:rsid w:val="3DB358E6"/>
    <w:rsid w:val="3DB713BA"/>
    <w:rsid w:val="3DB76EC2"/>
    <w:rsid w:val="3DB82D59"/>
    <w:rsid w:val="3DC12E13"/>
    <w:rsid w:val="3DD21FCA"/>
    <w:rsid w:val="3DD33899"/>
    <w:rsid w:val="3DD53D8E"/>
    <w:rsid w:val="3DE01F84"/>
    <w:rsid w:val="3DE1031D"/>
    <w:rsid w:val="3DE33744"/>
    <w:rsid w:val="3DF31975"/>
    <w:rsid w:val="3DF97115"/>
    <w:rsid w:val="3E044127"/>
    <w:rsid w:val="3E085C13"/>
    <w:rsid w:val="3E131AB5"/>
    <w:rsid w:val="3E1A79FB"/>
    <w:rsid w:val="3E2444AA"/>
    <w:rsid w:val="3E28439C"/>
    <w:rsid w:val="3E290D31"/>
    <w:rsid w:val="3E3D7B55"/>
    <w:rsid w:val="3E433F45"/>
    <w:rsid w:val="3E4A64EC"/>
    <w:rsid w:val="3E555423"/>
    <w:rsid w:val="3E6D682B"/>
    <w:rsid w:val="3E731C8A"/>
    <w:rsid w:val="3E733FED"/>
    <w:rsid w:val="3E746ED4"/>
    <w:rsid w:val="3E7E4CE3"/>
    <w:rsid w:val="3E8861E1"/>
    <w:rsid w:val="3E9648FB"/>
    <w:rsid w:val="3EAD6DF1"/>
    <w:rsid w:val="3EAE324D"/>
    <w:rsid w:val="3EB0656D"/>
    <w:rsid w:val="3EBB0315"/>
    <w:rsid w:val="3EBC342B"/>
    <w:rsid w:val="3EC62C82"/>
    <w:rsid w:val="3ED547E8"/>
    <w:rsid w:val="3EDD5D49"/>
    <w:rsid w:val="3EDE38C9"/>
    <w:rsid w:val="3EE029BE"/>
    <w:rsid w:val="3EE64C86"/>
    <w:rsid w:val="3EE64D94"/>
    <w:rsid w:val="3EE67230"/>
    <w:rsid w:val="3EED5C36"/>
    <w:rsid w:val="3EF01C7C"/>
    <w:rsid w:val="3EF1753A"/>
    <w:rsid w:val="3EF613FC"/>
    <w:rsid w:val="3EF81036"/>
    <w:rsid w:val="3F083CA9"/>
    <w:rsid w:val="3F112C2C"/>
    <w:rsid w:val="3F261863"/>
    <w:rsid w:val="3F312D48"/>
    <w:rsid w:val="3F317146"/>
    <w:rsid w:val="3F363B20"/>
    <w:rsid w:val="3F4D413F"/>
    <w:rsid w:val="3F530E37"/>
    <w:rsid w:val="3F566E35"/>
    <w:rsid w:val="3F5941E7"/>
    <w:rsid w:val="3F603895"/>
    <w:rsid w:val="3F622BEB"/>
    <w:rsid w:val="3F6436D8"/>
    <w:rsid w:val="3F682EFD"/>
    <w:rsid w:val="3F7F2049"/>
    <w:rsid w:val="3F800778"/>
    <w:rsid w:val="3F81513C"/>
    <w:rsid w:val="3F885D7C"/>
    <w:rsid w:val="3F893A21"/>
    <w:rsid w:val="3F907DE1"/>
    <w:rsid w:val="3FA0756C"/>
    <w:rsid w:val="3FA906F6"/>
    <w:rsid w:val="3FAA7C0D"/>
    <w:rsid w:val="3FBB18E7"/>
    <w:rsid w:val="3FBC79D4"/>
    <w:rsid w:val="3FBD26D9"/>
    <w:rsid w:val="3FD30B2E"/>
    <w:rsid w:val="3FDF6344"/>
    <w:rsid w:val="3FEC0325"/>
    <w:rsid w:val="3FF36786"/>
    <w:rsid w:val="400532A1"/>
    <w:rsid w:val="400C027B"/>
    <w:rsid w:val="40164DEC"/>
    <w:rsid w:val="40262301"/>
    <w:rsid w:val="402B0FEC"/>
    <w:rsid w:val="402C1A88"/>
    <w:rsid w:val="402C2DDC"/>
    <w:rsid w:val="403017C8"/>
    <w:rsid w:val="403A7255"/>
    <w:rsid w:val="403B60D8"/>
    <w:rsid w:val="403F1609"/>
    <w:rsid w:val="40431962"/>
    <w:rsid w:val="40463284"/>
    <w:rsid w:val="40463FF1"/>
    <w:rsid w:val="404B5FD6"/>
    <w:rsid w:val="4051687E"/>
    <w:rsid w:val="40622568"/>
    <w:rsid w:val="40756497"/>
    <w:rsid w:val="408963F8"/>
    <w:rsid w:val="408F0EA7"/>
    <w:rsid w:val="40971047"/>
    <w:rsid w:val="409C6440"/>
    <w:rsid w:val="40A92DF4"/>
    <w:rsid w:val="40C54635"/>
    <w:rsid w:val="40CD76B9"/>
    <w:rsid w:val="40D6638F"/>
    <w:rsid w:val="40D94C68"/>
    <w:rsid w:val="40E25ED6"/>
    <w:rsid w:val="40E517C3"/>
    <w:rsid w:val="40E850AB"/>
    <w:rsid w:val="40E86C81"/>
    <w:rsid w:val="40EC5967"/>
    <w:rsid w:val="40F81791"/>
    <w:rsid w:val="40FB21DF"/>
    <w:rsid w:val="41072575"/>
    <w:rsid w:val="410768DD"/>
    <w:rsid w:val="410C72BC"/>
    <w:rsid w:val="410E7238"/>
    <w:rsid w:val="411335D0"/>
    <w:rsid w:val="41164086"/>
    <w:rsid w:val="411D0C45"/>
    <w:rsid w:val="412C1BC0"/>
    <w:rsid w:val="413A7AE7"/>
    <w:rsid w:val="4147084D"/>
    <w:rsid w:val="41496A89"/>
    <w:rsid w:val="415107E2"/>
    <w:rsid w:val="415D64C5"/>
    <w:rsid w:val="415E7539"/>
    <w:rsid w:val="416711A2"/>
    <w:rsid w:val="417020D0"/>
    <w:rsid w:val="41702ED5"/>
    <w:rsid w:val="417D7BF9"/>
    <w:rsid w:val="4186503B"/>
    <w:rsid w:val="41881DEA"/>
    <w:rsid w:val="41AB0C98"/>
    <w:rsid w:val="41AE166B"/>
    <w:rsid w:val="41AF12A9"/>
    <w:rsid w:val="41B31AC1"/>
    <w:rsid w:val="41B62949"/>
    <w:rsid w:val="41B803AC"/>
    <w:rsid w:val="41C05B66"/>
    <w:rsid w:val="41C624DB"/>
    <w:rsid w:val="41CC07A3"/>
    <w:rsid w:val="41CE2B69"/>
    <w:rsid w:val="41D6663C"/>
    <w:rsid w:val="41E17C5F"/>
    <w:rsid w:val="41E452DA"/>
    <w:rsid w:val="41E81824"/>
    <w:rsid w:val="41F93414"/>
    <w:rsid w:val="42051854"/>
    <w:rsid w:val="42107A0C"/>
    <w:rsid w:val="421D5EF7"/>
    <w:rsid w:val="422C7872"/>
    <w:rsid w:val="424D2FE4"/>
    <w:rsid w:val="4251266B"/>
    <w:rsid w:val="4259245C"/>
    <w:rsid w:val="4264023E"/>
    <w:rsid w:val="426749F0"/>
    <w:rsid w:val="426823A2"/>
    <w:rsid w:val="426A68D4"/>
    <w:rsid w:val="42765849"/>
    <w:rsid w:val="42832232"/>
    <w:rsid w:val="428E7189"/>
    <w:rsid w:val="4293454F"/>
    <w:rsid w:val="42A430AF"/>
    <w:rsid w:val="42AA16C1"/>
    <w:rsid w:val="42AE3D2E"/>
    <w:rsid w:val="42B142A7"/>
    <w:rsid w:val="42B702D1"/>
    <w:rsid w:val="42BB16F8"/>
    <w:rsid w:val="42CA00C2"/>
    <w:rsid w:val="42CE287E"/>
    <w:rsid w:val="42DD4030"/>
    <w:rsid w:val="42F1275D"/>
    <w:rsid w:val="42F40617"/>
    <w:rsid w:val="42F43DC9"/>
    <w:rsid w:val="42F544AD"/>
    <w:rsid w:val="42FB0A48"/>
    <w:rsid w:val="431D236F"/>
    <w:rsid w:val="431F4183"/>
    <w:rsid w:val="432A39D1"/>
    <w:rsid w:val="43352C1D"/>
    <w:rsid w:val="43361CEF"/>
    <w:rsid w:val="434910DF"/>
    <w:rsid w:val="434C3E9C"/>
    <w:rsid w:val="435054E1"/>
    <w:rsid w:val="43664665"/>
    <w:rsid w:val="436F0D68"/>
    <w:rsid w:val="437C69A2"/>
    <w:rsid w:val="438A5CF7"/>
    <w:rsid w:val="43924718"/>
    <w:rsid w:val="439C43F2"/>
    <w:rsid w:val="43A90C9B"/>
    <w:rsid w:val="43BC31D2"/>
    <w:rsid w:val="43C00CF9"/>
    <w:rsid w:val="43C7716A"/>
    <w:rsid w:val="43CC760D"/>
    <w:rsid w:val="43DE5A45"/>
    <w:rsid w:val="43E26D14"/>
    <w:rsid w:val="43E4388A"/>
    <w:rsid w:val="43F940F3"/>
    <w:rsid w:val="43FB497F"/>
    <w:rsid w:val="43FE3E70"/>
    <w:rsid w:val="44046C8A"/>
    <w:rsid w:val="44085247"/>
    <w:rsid w:val="44095B36"/>
    <w:rsid w:val="440D7118"/>
    <w:rsid w:val="441766BF"/>
    <w:rsid w:val="441925A9"/>
    <w:rsid w:val="442209AC"/>
    <w:rsid w:val="4422556A"/>
    <w:rsid w:val="44283D04"/>
    <w:rsid w:val="442A4B25"/>
    <w:rsid w:val="44385DD2"/>
    <w:rsid w:val="443B5485"/>
    <w:rsid w:val="44433EEB"/>
    <w:rsid w:val="445658A4"/>
    <w:rsid w:val="445752F2"/>
    <w:rsid w:val="445D7902"/>
    <w:rsid w:val="446232B5"/>
    <w:rsid w:val="44682ED1"/>
    <w:rsid w:val="44721841"/>
    <w:rsid w:val="448333A9"/>
    <w:rsid w:val="448B4F45"/>
    <w:rsid w:val="448F0A23"/>
    <w:rsid w:val="448F414F"/>
    <w:rsid w:val="449A06FD"/>
    <w:rsid w:val="44A27DCA"/>
    <w:rsid w:val="44A72947"/>
    <w:rsid w:val="44BD6730"/>
    <w:rsid w:val="44C01512"/>
    <w:rsid w:val="44DD593C"/>
    <w:rsid w:val="44E45D7C"/>
    <w:rsid w:val="44ED112A"/>
    <w:rsid w:val="44ED4037"/>
    <w:rsid w:val="44F82C4B"/>
    <w:rsid w:val="44FD2342"/>
    <w:rsid w:val="450064AF"/>
    <w:rsid w:val="45030DA1"/>
    <w:rsid w:val="45075B75"/>
    <w:rsid w:val="450C6E9B"/>
    <w:rsid w:val="450F5D31"/>
    <w:rsid w:val="45160217"/>
    <w:rsid w:val="45200866"/>
    <w:rsid w:val="4527090E"/>
    <w:rsid w:val="452E755A"/>
    <w:rsid w:val="45401917"/>
    <w:rsid w:val="45460A22"/>
    <w:rsid w:val="45463724"/>
    <w:rsid w:val="45464482"/>
    <w:rsid w:val="454D79D0"/>
    <w:rsid w:val="45512327"/>
    <w:rsid w:val="45587D66"/>
    <w:rsid w:val="4569795B"/>
    <w:rsid w:val="45841947"/>
    <w:rsid w:val="4592436B"/>
    <w:rsid w:val="459C543F"/>
    <w:rsid w:val="45A64606"/>
    <w:rsid w:val="45B65F31"/>
    <w:rsid w:val="45C327C5"/>
    <w:rsid w:val="45CC73AE"/>
    <w:rsid w:val="45D87B7E"/>
    <w:rsid w:val="45D925E5"/>
    <w:rsid w:val="45DE18DC"/>
    <w:rsid w:val="460E53F2"/>
    <w:rsid w:val="4610626C"/>
    <w:rsid w:val="461A4C0A"/>
    <w:rsid w:val="461D2A94"/>
    <w:rsid w:val="463051AB"/>
    <w:rsid w:val="463059A2"/>
    <w:rsid w:val="463B6061"/>
    <w:rsid w:val="464E77FB"/>
    <w:rsid w:val="464F5318"/>
    <w:rsid w:val="46580D10"/>
    <w:rsid w:val="465C0F95"/>
    <w:rsid w:val="466017B6"/>
    <w:rsid w:val="466C293B"/>
    <w:rsid w:val="466D44E0"/>
    <w:rsid w:val="467102F7"/>
    <w:rsid w:val="467764E1"/>
    <w:rsid w:val="467E1B6A"/>
    <w:rsid w:val="467F1D66"/>
    <w:rsid w:val="469908C0"/>
    <w:rsid w:val="469B5CD1"/>
    <w:rsid w:val="46AC4CBC"/>
    <w:rsid w:val="46B163B6"/>
    <w:rsid w:val="46BB2F9E"/>
    <w:rsid w:val="46BB4F4E"/>
    <w:rsid w:val="46C578FC"/>
    <w:rsid w:val="46C63C86"/>
    <w:rsid w:val="46D43522"/>
    <w:rsid w:val="46D7454F"/>
    <w:rsid w:val="46EC3AA4"/>
    <w:rsid w:val="46F46B4D"/>
    <w:rsid w:val="46F6239C"/>
    <w:rsid w:val="470A1493"/>
    <w:rsid w:val="470C67DA"/>
    <w:rsid w:val="470D50BE"/>
    <w:rsid w:val="470E54D5"/>
    <w:rsid w:val="47121364"/>
    <w:rsid w:val="47165B66"/>
    <w:rsid w:val="471A091A"/>
    <w:rsid w:val="472A066B"/>
    <w:rsid w:val="472D0EC8"/>
    <w:rsid w:val="472E7F53"/>
    <w:rsid w:val="4734670F"/>
    <w:rsid w:val="47437CEB"/>
    <w:rsid w:val="475A2DF2"/>
    <w:rsid w:val="476D5E4E"/>
    <w:rsid w:val="4771031B"/>
    <w:rsid w:val="477264CD"/>
    <w:rsid w:val="47757BCF"/>
    <w:rsid w:val="47813C12"/>
    <w:rsid w:val="47881EEA"/>
    <w:rsid w:val="47AD60F8"/>
    <w:rsid w:val="47B06D3E"/>
    <w:rsid w:val="47B11488"/>
    <w:rsid w:val="47B77412"/>
    <w:rsid w:val="47BE5104"/>
    <w:rsid w:val="47C23499"/>
    <w:rsid w:val="47D732CE"/>
    <w:rsid w:val="47DD1593"/>
    <w:rsid w:val="47DD6AEB"/>
    <w:rsid w:val="47E26390"/>
    <w:rsid w:val="47ED1C45"/>
    <w:rsid w:val="47F10F7C"/>
    <w:rsid w:val="47FB7F79"/>
    <w:rsid w:val="47FF42AC"/>
    <w:rsid w:val="48027844"/>
    <w:rsid w:val="480810F8"/>
    <w:rsid w:val="4808584E"/>
    <w:rsid w:val="481065AE"/>
    <w:rsid w:val="481F0CB0"/>
    <w:rsid w:val="482423B9"/>
    <w:rsid w:val="482800BC"/>
    <w:rsid w:val="48293F8B"/>
    <w:rsid w:val="482C254D"/>
    <w:rsid w:val="48307DB7"/>
    <w:rsid w:val="484023BF"/>
    <w:rsid w:val="48417EF6"/>
    <w:rsid w:val="484A759A"/>
    <w:rsid w:val="484E777F"/>
    <w:rsid w:val="48540288"/>
    <w:rsid w:val="486B154F"/>
    <w:rsid w:val="48705E73"/>
    <w:rsid w:val="48836814"/>
    <w:rsid w:val="488528ED"/>
    <w:rsid w:val="488E71B1"/>
    <w:rsid w:val="48903E80"/>
    <w:rsid w:val="489857A5"/>
    <w:rsid w:val="489B1D72"/>
    <w:rsid w:val="48A35353"/>
    <w:rsid w:val="48A44D08"/>
    <w:rsid w:val="48AE3248"/>
    <w:rsid w:val="48B905D5"/>
    <w:rsid w:val="48BA5088"/>
    <w:rsid w:val="48CA787B"/>
    <w:rsid w:val="48D6118C"/>
    <w:rsid w:val="48DD398E"/>
    <w:rsid w:val="48E476B5"/>
    <w:rsid w:val="48F214A6"/>
    <w:rsid w:val="48F464D4"/>
    <w:rsid w:val="48F903A5"/>
    <w:rsid w:val="49036CED"/>
    <w:rsid w:val="49094345"/>
    <w:rsid w:val="490A46B5"/>
    <w:rsid w:val="490B406C"/>
    <w:rsid w:val="49152632"/>
    <w:rsid w:val="49165614"/>
    <w:rsid w:val="49193383"/>
    <w:rsid w:val="493E7D34"/>
    <w:rsid w:val="4945396C"/>
    <w:rsid w:val="49476D08"/>
    <w:rsid w:val="49486492"/>
    <w:rsid w:val="49591268"/>
    <w:rsid w:val="495C7492"/>
    <w:rsid w:val="496279A6"/>
    <w:rsid w:val="496B72B6"/>
    <w:rsid w:val="497B6021"/>
    <w:rsid w:val="497E2652"/>
    <w:rsid w:val="49833F8D"/>
    <w:rsid w:val="498705AB"/>
    <w:rsid w:val="4999338D"/>
    <w:rsid w:val="499A6149"/>
    <w:rsid w:val="499E4B16"/>
    <w:rsid w:val="49A14F22"/>
    <w:rsid w:val="49A36C06"/>
    <w:rsid w:val="49A53A41"/>
    <w:rsid w:val="49AB495E"/>
    <w:rsid w:val="49BE466A"/>
    <w:rsid w:val="49BE66AF"/>
    <w:rsid w:val="49CE0A4C"/>
    <w:rsid w:val="49CF6E58"/>
    <w:rsid w:val="49D509BE"/>
    <w:rsid w:val="49D85502"/>
    <w:rsid w:val="49E146D2"/>
    <w:rsid w:val="49EA6A16"/>
    <w:rsid w:val="4A014165"/>
    <w:rsid w:val="4A0D3F83"/>
    <w:rsid w:val="4A0E403F"/>
    <w:rsid w:val="4A14432A"/>
    <w:rsid w:val="4A1510D7"/>
    <w:rsid w:val="4A1B55D6"/>
    <w:rsid w:val="4A253673"/>
    <w:rsid w:val="4A2873CC"/>
    <w:rsid w:val="4A2D0797"/>
    <w:rsid w:val="4A2F1536"/>
    <w:rsid w:val="4A324829"/>
    <w:rsid w:val="4A3B5FA3"/>
    <w:rsid w:val="4A3C374C"/>
    <w:rsid w:val="4A3D1127"/>
    <w:rsid w:val="4A3E1BC7"/>
    <w:rsid w:val="4A4D7549"/>
    <w:rsid w:val="4A5A66E5"/>
    <w:rsid w:val="4A6471EE"/>
    <w:rsid w:val="4A6C6732"/>
    <w:rsid w:val="4A7524D7"/>
    <w:rsid w:val="4A776767"/>
    <w:rsid w:val="4A7B58F6"/>
    <w:rsid w:val="4A954DCB"/>
    <w:rsid w:val="4A9838D7"/>
    <w:rsid w:val="4AA76BA4"/>
    <w:rsid w:val="4AB227C2"/>
    <w:rsid w:val="4AB36E99"/>
    <w:rsid w:val="4AC5640B"/>
    <w:rsid w:val="4AC81F33"/>
    <w:rsid w:val="4AC832A8"/>
    <w:rsid w:val="4ACA2266"/>
    <w:rsid w:val="4ACD307F"/>
    <w:rsid w:val="4ACD70BB"/>
    <w:rsid w:val="4AD0442E"/>
    <w:rsid w:val="4AD171A3"/>
    <w:rsid w:val="4AD70079"/>
    <w:rsid w:val="4ADA0108"/>
    <w:rsid w:val="4ADA4F14"/>
    <w:rsid w:val="4AE3684F"/>
    <w:rsid w:val="4AE76B82"/>
    <w:rsid w:val="4AF5208D"/>
    <w:rsid w:val="4B011E3C"/>
    <w:rsid w:val="4B286B12"/>
    <w:rsid w:val="4B2A5EC2"/>
    <w:rsid w:val="4B325C53"/>
    <w:rsid w:val="4B370FEC"/>
    <w:rsid w:val="4B3B594B"/>
    <w:rsid w:val="4B451D8F"/>
    <w:rsid w:val="4B465042"/>
    <w:rsid w:val="4B4839D8"/>
    <w:rsid w:val="4B4E0E7B"/>
    <w:rsid w:val="4B57661B"/>
    <w:rsid w:val="4B6363DD"/>
    <w:rsid w:val="4B7C5201"/>
    <w:rsid w:val="4B817EF3"/>
    <w:rsid w:val="4B880980"/>
    <w:rsid w:val="4B8D3B81"/>
    <w:rsid w:val="4B9423BC"/>
    <w:rsid w:val="4B94787A"/>
    <w:rsid w:val="4B9633BA"/>
    <w:rsid w:val="4B965C16"/>
    <w:rsid w:val="4B9860A2"/>
    <w:rsid w:val="4B9D6E1C"/>
    <w:rsid w:val="4B9F7329"/>
    <w:rsid w:val="4BA6127A"/>
    <w:rsid w:val="4BB6478F"/>
    <w:rsid w:val="4BB647EF"/>
    <w:rsid w:val="4BBA4760"/>
    <w:rsid w:val="4BC55FD2"/>
    <w:rsid w:val="4BC71A96"/>
    <w:rsid w:val="4BC735E4"/>
    <w:rsid w:val="4BCB6402"/>
    <w:rsid w:val="4BCE61ED"/>
    <w:rsid w:val="4BD125DF"/>
    <w:rsid w:val="4BDE1853"/>
    <w:rsid w:val="4BF04672"/>
    <w:rsid w:val="4BF976F5"/>
    <w:rsid w:val="4C020210"/>
    <w:rsid w:val="4C055EE0"/>
    <w:rsid w:val="4C08245D"/>
    <w:rsid w:val="4C0E18FF"/>
    <w:rsid w:val="4C127981"/>
    <w:rsid w:val="4C181825"/>
    <w:rsid w:val="4C1C7A3E"/>
    <w:rsid w:val="4C205B9D"/>
    <w:rsid w:val="4C206233"/>
    <w:rsid w:val="4C3009BC"/>
    <w:rsid w:val="4C33480D"/>
    <w:rsid w:val="4C5511C9"/>
    <w:rsid w:val="4C624AD1"/>
    <w:rsid w:val="4C667AAF"/>
    <w:rsid w:val="4C69467E"/>
    <w:rsid w:val="4C6E516E"/>
    <w:rsid w:val="4C795A6B"/>
    <w:rsid w:val="4C7A2831"/>
    <w:rsid w:val="4C7F75EF"/>
    <w:rsid w:val="4C9466E6"/>
    <w:rsid w:val="4C9D1446"/>
    <w:rsid w:val="4C9D54FB"/>
    <w:rsid w:val="4C9E1C0A"/>
    <w:rsid w:val="4CA0433B"/>
    <w:rsid w:val="4CCA6523"/>
    <w:rsid w:val="4CD22D9D"/>
    <w:rsid w:val="4CE61CC9"/>
    <w:rsid w:val="4CE77A7A"/>
    <w:rsid w:val="4D1C379E"/>
    <w:rsid w:val="4D247EAC"/>
    <w:rsid w:val="4D2F3B0D"/>
    <w:rsid w:val="4D3571BB"/>
    <w:rsid w:val="4D3C04F8"/>
    <w:rsid w:val="4D415DD3"/>
    <w:rsid w:val="4D4F5FCA"/>
    <w:rsid w:val="4D606429"/>
    <w:rsid w:val="4D606D27"/>
    <w:rsid w:val="4D660337"/>
    <w:rsid w:val="4D6974FD"/>
    <w:rsid w:val="4D7E668E"/>
    <w:rsid w:val="4D843446"/>
    <w:rsid w:val="4D8667FF"/>
    <w:rsid w:val="4D8B08B2"/>
    <w:rsid w:val="4D8F6C23"/>
    <w:rsid w:val="4D903B4A"/>
    <w:rsid w:val="4D9744C3"/>
    <w:rsid w:val="4D9F692B"/>
    <w:rsid w:val="4DA244B7"/>
    <w:rsid w:val="4DB4232A"/>
    <w:rsid w:val="4DB8661B"/>
    <w:rsid w:val="4DBD180A"/>
    <w:rsid w:val="4DBE32E7"/>
    <w:rsid w:val="4DC74A2A"/>
    <w:rsid w:val="4DCC66C8"/>
    <w:rsid w:val="4DCF0FE8"/>
    <w:rsid w:val="4DD061AA"/>
    <w:rsid w:val="4DD2326D"/>
    <w:rsid w:val="4DDB00BB"/>
    <w:rsid w:val="4DDD229A"/>
    <w:rsid w:val="4DE449D9"/>
    <w:rsid w:val="4DE62397"/>
    <w:rsid w:val="4DEA41CB"/>
    <w:rsid w:val="4E0B487E"/>
    <w:rsid w:val="4E0D263D"/>
    <w:rsid w:val="4E0D44FC"/>
    <w:rsid w:val="4E1B4643"/>
    <w:rsid w:val="4E1B7091"/>
    <w:rsid w:val="4E2074AF"/>
    <w:rsid w:val="4E220942"/>
    <w:rsid w:val="4E2209CC"/>
    <w:rsid w:val="4E2F08F5"/>
    <w:rsid w:val="4E3531C1"/>
    <w:rsid w:val="4E4612DE"/>
    <w:rsid w:val="4E562F67"/>
    <w:rsid w:val="4E593461"/>
    <w:rsid w:val="4E5C3511"/>
    <w:rsid w:val="4E6B36FD"/>
    <w:rsid w:val="4E7564EE"/>
    <w:rsid w:val="4E79376A"/>
    <w:rsid w:val="4E7B2346"/>
    <w:rsid w:val="4E841773"/>
    <w:rsid w:val="4E87242C"/>
    <w:rsid w:val="4E9C4FB5"/>
    <w:rsid w:val="4E9E06B4"/>
    <w:rsid w:val="4EAE2546"/>
    <w:rsid w:val="4EB42069"/>
    <w:rsid w:val="4EB468A6"/>
    <w:rsid w:val="4EB60B08"/>
    <w:rsid w:val="4EB62AED"/>
    <w:rsid w:val="4EB95FD1"/>
    <w:rsid w:val="4EC26563"/>
    <w:rsid w:val="4EC63A79"/>
    <w:rsid w:val="4EC777D0"/>
    <w:rsid w:val="4ED8341C"/>
    <w:rsid w:val="4ED96FFD"/>
    <w:rsid w:val="4EDA63BD"/>
    <w:rsid w:val="4EE24F81"/>
    <w:rsid w:val="4EEB6737"/>
    <w:rsid w:val="4EF24BB1"/>
    <w:rsid w:val="4EF66239"/>
    <w:rsid w:val="4EFA0261"/>
    <w:rsid w:val="4F010E9C"/>
    <w:rsid w:val="4F052150"/>
    <w:rsid w:val="4F131602"/>
    <w:rsid w:val="4F1C51FA"/>
    <w:rsid w:val="4F1D3720"/>
    <w:rsid w:val="4F253161"/>
    <w:rsid w:val="4F265B35"/>
    <w:rsid w:val="4F2A7E1B"/>
    <w:rsid w:val="4F345069"/>
    <w:rsid w:val="4F491B45"/>
    <w:rsid w:val="4F532E74"/>
    <w:rsid w:val="4F700AB8"/>
    <w:rsid w:val="4F724B8A"/>
    <w:rsid w:val="4F7A4D00"/>
    <w:rsid w:val="4F7F76DC"/>
    <w:rsid w:val="4F8417D4"/>
    <w:rsid w:val="4F8469E3"/>
    <w:rsid w:val="4F872750"/>
    <w:rsid w:val="4F8F1102"/>
    <w:rsid w:val="4F980757"/>
    <w:rsid w:val="4FA6478C"/>
    <w:rsid w:val="4FAA60A9"/>
    <w:rsid w:val="4FBB7243"/>
    <w:rsid w:val="4FBF1BFB"/>
    <w:rsid w:val="4FCC5EA8"/>
    <w:rsid w:val="4FCE03A0"/>
    <w:rsid w:val="4FCE7A79"/>
    <w:rsid w:val="4FD33CE0"/>
    <w:rsid w:val="4FDF7BDD"/>
    <w:rsid w:val="4FE15453"/>
    <w:rsid w:val="4FE73B63"/>
    <w:rsid w:val="4FF72332"/>
    <w:rsid w:val="4FF72DE5"/>
    <w:rsid w:val="50012075"/>
    <w:rsid w:val="50047A7F"/>
    <w:rsid w:val="5006131B"/>
    <w:rsid w:val="50203A2A"/>
    <w:rsid w:val="5048146A"/>
    <w:rsid w:val="504A7F01"/>
    <w:rsid w:val="505076C0"/>
    <w:rsid w:val="505F2D2E"/>
    <w:rsid w:val="505F34BC"/>
    <w:rsid w:val="50686EAB"/>
    <w:rsid w:val="50702837"/>
    <w:rsid w:val="507614C9"/>
    <w:rsid w:val="507669E9"/>
    <w:rsid w:val="507A2085"/>
    <w:rsid w:val="50961908"/>
    <w:rsid w:val="509A055D"/>
    <w:rsid w:val="509B3EDD"/>
    <w:rsid w:val="509F715C"/>
    <w:rsid w:val="50B618A6"/>
    <w:rsid w:val="50B814B6"/>
    <w:rsid w:val="50B96EDD"/>
    <w:rsid w:val="50C26A0D"/>
    <w:rsid w:val="50CC6518"/>
    <w:rsid w:val="50CC68B8"/>
    <w:rsid w:val="50D6059E"/>
    <w:rsid w:val="50DC3A8C"/>
    <w:rsid w:val="50EE2538"/>
    <w:rsid w:val="50EE7EEA"/>
    <w:rsid w:val="50F429E8"/>
    <w:rsid w:val="50F939A1"/>
    <w:rsid w:val="50FB2324"/>
    <w:rsid w:val="51022258"/>
    <w:rsid w:val="510801FB"/>
    <w:rsid w:val="511D7548"/>
    <w:rsid w:val="512C5A48"/>
    <w:rsid w:val="512F07E5"/>
    <w:rsid w:val="51351100"/>
    <w:rsid w:val="513C44D7"/>
    <w:rsid w:val="51432D5B"/>
    <w:rsid w:val="51461656"/>
    <w:rsid w:val="51554EA2"/>
    <w:rsid w:val="515869F2"/>
    <w:rsid w:val="515E5B83"/>
    <w:rsid w:val="515F710F"/>
    <w:rsid w:val="5160270D"/>
    <w:rsid w:val="5165631B"/>
    <w:rsid w:val="51681C01"/>
    <w:rsid w:val="517817B2"/>
    <w:rsid w:val="51892D45"/>
    <w:rsid w:val="518E6600"/>
    <w:rsid w:val="51930C6B"/>
    <w:rsid w:val="519C2D16"/>
    <w:rsid w:val="519C6611"/>
    <w:rsid w:val="51A35D6C"/>
    <w:rsid w:val="51A8204C"/>
    <w:rsid w:val="51B2433D"/>
    <w:rsid w:val="51CD7630"/>
    <w:rsid w:val="51D94D59"/>
    <w:rsid w:val="51DD542C"/>
    <w:rsid w:val="51E132E0"/>
    <w:rsid w:val="51E17C48"/>
    <w:rsid w:val="51E20837"/>
    <w:rsid w:val="51EA6449"/>
    <w:rsid w:val="51F80E0A"/>
    <w:rsid w:val="520050DA"/>
    <w:rsid w:val="5215287D"/>
    <w:rsid w:val="521F02C1"/>
    <w:rsid w:val="52217796"/>
    <w:rsid w:val="52237BC4"/>
    <w:rsid w:val="52255C15"/>
    <w:rsid w:val="523843F5"/>
    <w:rsid w:val="52453794"/>
    <w:rsid w:val="52556912"/>
    <w:rsid w:val="52647D03"/>
    <w:rsid w:val="52673763"/>
    <w:rsid w:val="526C4F6E"/>
    <w:rsid w:val="52745FC6"/>
    <w:rsid w:val="52772F48"/>
    <w:rsid w:val="5280378B"/>
    <w:rsid w:val="52851237"/>
    <w:rsid w:val="528555AF"/>
    <w:rsid w:val="52943852"/>
    <w:rsid w:val="529C3BF0"/>
    <w:rsid w:val="529C6061"/>
    <w:rsid w:val="52A15FD6"/>
    <w:rsid w:val="52B1062D"/>
    <w:rsid w:val="52B67E38"/>
    <w:rsid w:val="52B85E8B"/>
    <w:rsid w:val="52CE4610"/>
    <w:rsid w:val="52D5247A"/>
    <w:rsid w:val="52D81CC3"/>
    <w:rsid w:val="52E33590"/>
    <w:rsid w:val="52E7017A"/>
    <w:rsid w:val="52F8304D"/>
    <w:rsid w:val="530022E8"/>
    <w:rsid w:val="53052EE6"/>
    <w:rsid w:val="530541C1"/>
    <w:rsid w:val="530F2AAB"/>
    <w:rsid w:val="531F720E"/>
    <w:rsid w:val="53216309"/>
    <w:rsid w:val="53280C78"/>
    <w:rsid w:val="532F4C49"/>
    <w:rsid w:val="53303F23"/>
    <w:rsid w:val="533B64EF"/>
    <w:rsid w:val="534B6AD1"/>
    <w:rsid w:val="535D6127"/>
    <w:rsid w:val="536512BA"/>
    <w:rsid w:val="536B5CEA"/>
    <w:rsid w:val="536C1720"/>
    <w:rsid w:val="53794C2A"/>
    <w:rsid w:val="537E59AB"/>
    <w:rsid w:val="53846423"/>
    <w:rsid w:val="539001B9"/>
    <w:rsid w:val="53952DF3"/>
    <w:rsid w:val="53963D6C"/>
    <w:rsid w:val="53973104"/>
    <w:rsid w:val="539B551B"/>
    <w:rsid w:val="53A24C12"/>
    <w:rsid w:val="53A63B95"/>
    <w:rsid w:val="53AD5A28"/>
    <w:rsid w:val="53BC6A83"/>
    <w:rsid w:val="53BE5643"/>
    <w:rsid w:val="53C604D7"/>
    <w:rsid w:val="53C72116"/>
    <w:rsid w:val="53C82D3B"/>
    <w:rsid w:val="53CC7E32"/>
    <w:rsid w:val="53D261B5"/>
    <w:rsid w:val="53D72269"/>
    <w:rsid w:val="53F22F65"/>
    <w:rsid w:val="54042736"/>
    <w:rsid w:val="5406019B"/>
    <w:rsid w:val="542122C2"/>
    <w:rsid w:val="54247FE1"/>
    <w:rsid w:val="542516B1"/>
    <w:rsid w:val="54263E54"/>
    <w:rsid w:val="542B0114"/>
    <w:rsid w:val="544B67E2"/>
    <w:rsid w:val="544D2AA5"/>
    <w:rsid w:val="54504EA3"/>
    <w:rsid w:val="545C27FD"/>
    <w:rsid w:val="5465314C"/>
    <w:rsid w:val="54657C4C"/>
    <w:rsid w:val="54687FB2"/>
    <w:rsid w:val="54795CD4"/>
    <w:rsid w:val="547E549C"/>
    <w:rsid w:val="54921EEA"/>
    <w:rsid w:val="549E3B0C"/>
    <w:rsid w:val="549E3FAA"/>
    <w:rsid w:val="54A57FA9"/>
    <w:rsid w:val="54B12A70"/>
    <w:rsid w:val="54B36E13"/>
    <w:rsid w:val="54B41590"/>
    <w:rsid w:val="54B467E5"/>
    <w:rsid w:val="54B53633"/>
    <w:rsid w:val="54C12EA7"/>
    <w:rsid w:val="54CA148E"/>
    <w:rsid w:val="54D13CD1"/>
    <w:rsid w:val="54D14424"/>
    <w:rsid w:val="54D3212E"/>
    <w:rsid w:val="54D72DE5"/>
    <w:rsid w:val="54E25BC3"/>
    <w:rsid w:val="54E706B5"/>
    <w:rsid w:val="54F128DB"/>
    <w:rsid w:val="54F33C94"/>
    <w:rsid w:val="54F43F63"/>
    <w:rsid w:val="550F7C3A"/>
    <w:rsid w:val="5510487C"/>
    <w:rsid w:val="551D1CCC"/>
    <w:rsid w:val="5524090A"/>
    <w:rsid w:val="552E0EE6"/>
    <w:rsid w:val="553F4049"/>
    <w:rsid w:val="5543052B"/>
    <w:rsid w:val="554F3EBB"/>
    <w:rsid w:val="554F4E51"/>
    <w:rsid w:val="555A6C2A"/>
    <w:rsid w:val="5577150B"/>
    <w:rsid w:val="558758D0"/>
    <w:rsid w:val="558A52E3"/>
    <w:rsid w:val="55900798"/>
    <w:rsid w:val="559B4098"/>
    <w:rsid w:val="559B7744"/>
    <w:rsid w:val="55A26D7E"/>
    <w:rsid w:val="55A447EB"/>
    <w:rsid w:val="55B035C3"/>
    <w:rsid w:val="55BD6AAD"/>
    <w:rsid w:val="55CF4B6F"/>
    <w:rsid w:val="55E52403"/>
    <w:rsid w:val="55E7222F"/>
    <w:rsid w:val="55EC1391"/>
    <w:rsid w:val="55F97AC2"/>
    <w:rsid w:val="55FB7033"/>
    <w:rsid w:val="55FB77D2"/>
    <w:rsid w:val="56001313"/>
    <w:rsid w:val="56026EDB"/>
    <w:rsid w:val="560D7619"/>
    <w:rsid w:val="56252B64"/>
    <w:rsid w:val="56255B9F"/>
    <w:rsid w:val="56294BEB"/>
    <w:rsid w:val="562B5CD8"/>
    <w:rsid w:val="562E2478"/>
    <w:rsid w:val="56310414"/>
    <w:rsid w:val="56425BF5"/>
    <w:rsid w:val="56433E2E"/>
    <w:rsid w:val="564B01B8"/>
    <w:rsid w:val="565915C3"/>
    <w:rsid w:val="565C2BA1"/>
    <w:rsid w:val="56616247"/>
    <w:rsid w:val="56633065"/>
    <w:rsid w:val="56665A21"/>
    <w:rsid w:val="567A1361"/>
    <w:rsid w:val="56806772"/>
    <w:rsid w:val="568238DB"/>
    <w:rsid w:val="56853957"/>
    <w:rsid w:val="568D6B91"/>
    <w:rsid w:val="56916BBE"/>
    <w:rsid w:val="56966B96"/>
    <w:rsid w:val="56A239A7"/>
    <w:rsid w:val="56B71326"/>
    <w:rsid w:val="56B90C49"/>
    <w:rsid w:val="56CA1369"/>
    <w:rsid w:val="56D3686B"/>
    <w:rsid w:val="56D518AC"/>
    <w:rsid w:val="56D8175A"/>
    <w:rsid w:val="56DE38B8"/>
    <w:rsid w:val="56DE44F9"/>
    <w:rsid w:val="56E01239"/>
    <w:rsid w:val="56E13301"/>
    <w:rsid w:val="56FF7B5E"/>
    <w:rsid w:val="57087502"/>
    <w:rsid w:val="571763AC"/>
    <w:rsid w:val="571C23C6"/>
    <w:rsid w:val="572A2F7B"/>
    <w:rsid w:val="572E0144"/>
    <w:rsid w:val="573F131C"/>
    <w:rsid w:val="574052DA"/>
    <w:rsid w:val="574B640A"/>
    <w:rsid w:val="57586BBE"/>
    <w:rsid w:val="575D5F2E"/>
    <w:rsid w:val="576904A9"/>
    <w:rsid w:val="577B4624"/>
    <w:rsid w:val="57844054"/>
    <w:rsid w:val="578A1C8A"/>
    <w:rsid w:val="578E71C7"/>
    <w:rsid w:val="57963872"/>
    <w:rsid w:val="579670CF"/>
    <w:rsid w:val="57B52B09"/>
    <w:rsid w:val="57B839B8"/>
    <w:rsid w:val="57DC1A2D"/>
    <w:rsid w:val="57DE2D5C"/>
    <w:rsid w:val="57EB2220"/>
    <w:rsid w:val="57EC3BF2"/>
    <w:rsid w:val="57F443DE"/>
    <w:rsid w:val="58026829"/>
    <w:rsid w:val="581851A8"/>
    <w:rsid w:val="581921CC"/>
    <w:rsid w:val="582139B9"/>
    <w:rsid w:val="582A7A8E"/>
    <w:rsid w:val="58364591"/>
    <w:rsid w:val="583B4C5D"/>
    <w:rsid w:val="58400141"/>
    <w:rsid w:val="58447C0D"/>
    <w:rsid w:val="58495C25"/>
    <w:rsid w:val="585D7244"/>
    <w:rsid w:val="58606468"/>
    <w:rsid w:val="588343E7"/>
    <w:rsid w:val="588C1CEC"/>
    <w:rsid w:val="58955AA6"/>
    <w:rsid w:val="589C4524"/>
    <w:rsid w:val="58AD56DA"/>
    <w:rsid w:val="58BA66E1"/>
    <w:rsid w:val="58C71561"/>
    <w:rsid w:val="58CE3B0E"/>
    <w:rsid w:val="58D54C63"/>
    <w:rsid w:val="58D77AF2"/>
    <w:rsid w:val="58DB4FDE"/>
    <w:rsid w:val="58DD0F19"/>
    <w:rsid w:val="58ED7E56"/>
    <w:rsid w:val="58F652DE"/>
    <w:rsid w:val="58F96381"/>
    <w:rsid w:val="59064D98"/>
    <w:rsid w:val="590C395C"/>
    <w:rsid w:val="59197B14"/>
    <w:rsid w:val="59243156"/>
    <w:rsid w:val="592F54EA"/>
    <w:rsid w:val="59391FB6"/>
    <w:rsid w:val="593C6FD3"/>
    <w:rsid w:val="59453E5E"/>
    <w:rsid w:val="594E49F5"/>
    <w:rsid w:val="59501808"/>
    <w:rsid w:val="595162D8"/>
    <w:rsid w:val="595E371C"/>
    <w:rsid w:val="59614956"/>
    <w:rsid w:val="596451AB"/>
    <w:rsid w:val="59647FFF"/>
    <w:rsid w:val="596A1E71"/>
    <w:rsid w:val="596E7D22"/>
    <w:rsid w:val="597B7CB1"/>
    <w:rsid w:val="598814E0"/>
    <w:rsid w:val="598E0D5F"/>
    <w:rsid w:val="59976DA0"/>
    <w:rsid w:val="59A13CC4"/>
    <w:rsid w:val="59A518C8"/>
    <w:rsid w:val="59C2678F"/>
    <w:rsid w:val="59C52EA0"/>
    <w:rsid w:val="59C70214"/>
    <w:rsid w:val="59D03247"/>
    <w:rsid w:val="59D74203"/>
    <w:rsid w:val="59DA3A16"/>
    <w:rsid w:val="59DF4C9C"/>
    <w:rsid w:val="59E24466"/>
    <w:rsid w:val="59F4197F"/>
    <w:rsid w:val="5A09145E"/>
    <w:rsid w:val="5A1837DC"/>
    <w:rsid w:val="5A1B0B71"/>
    <w:rsid w:val="5A1C65FF"/>
    <w:rsid w:val="5A2513B3"/>
    <w:rsid w:val="5A272091"/>
    <w:rsid w:val="5A293D84"/>
    <w:rsid w:val="5A393293"/>
    <w:rsid w:val="5A420703"/>
    <w:rsid w:val="5A620058"/>
    <w:rsid w:val="5A620C7C"/>
    <w:rsid w:val="5A857F52"/>
    <w:rsid w:val="5A892E37"/>
    <w:rsid w:val="5A8F2C3C"/>
    <w:rsid w:val="5A966B9E"/>
    <w:rsid w:val="5AA968E1"/>
    <w:rsid w:val="5AAD0CE7"/>
    <w:rsid w:val="5ABB7A77"/>
    <w:rsid w:val="5AC032E0"/>
    <w:rsid w:val="5AC54A62"/>
    <w:rsid w:val="5ACD1B71"/>
    <w:rsid w:val="5AD039F1"/>
    <w:rsid w:val="5AD13E67"/>
    <w:rsid w:val="5ADA21C7"/>
    <w:rsid w:val="5AE23BCB"/>
    <w:rsid w:val="5AE65D89"/>
    <w:rsid w:val="5AE762BC"/>
    <w:rsid w:val="5AF0159B"/>
    <w:rsid w:val="5AF310B6"/>
    <w:rsid w:val="5B08366B"/>
    <w:rsid w:val="5B130BD4"/>
    <w:rsid w:val="5B141646"/>
    <w:rsid w:val="5B1A3826"/>
    <w:rsid w:val="5B1B18DC"/>
    <w:rsid w:val="5B1B5CFA"/>
    <w:rsid w:val="5B24763B"/>
    <w:rsid w:val="5B26542B"/>
    <w:rsid w:val="5B2931F0"/>
    <w:rsid w:val="5B3A778E"/>
    <w:rsid w:val="5B403C7E"/>
    <w:rsid w:val="5B497C81"/>
    <w:rsid w:val="5B4B2685"/>
    <w:rsid w:val="5B6B06CB"/>
    <w:rsid w:val="5B814E54"/>
    <w:rsid w:val="5B8746E9"/>
    <w:rsid w:val="5B8A31CE"/>
    <w:rsid w:val="5B8A611A"/>
    <w:rsid w:val="5B903048"/>
    <w:rsid w:val="5B9235F3"/>
    <w:rsid w:val="5B995855"/>
    <w:rsid w:val="5B9A5BBF"/>
    <w:rsid w:val="5B9B2151"/>
    <w:rsid w:val="5B9D772A"/>
    <w:rsid w:val="5BA44703"/>
    <w:rsid w:val="5BA60E01"/>
    <w:rsid w:val="5BA90B30"/>
    <w:rsid w:val="5BB73E49"/>
    <w:rsid w:val="5BBF1795"/>
    <w:rsid w:val="5BCE4410"/>
    <w:rsid w:val="5BCE6B3C"/>
    <w:rsid w:val="5BD15F25"/>
    <w:rsid w:val="5BDE4979"/>
    <w:rsid w:val="5BE13A42"/>
    <w:rsid w:val="5BEA6D6D"/>
    <w:rsid w:val="5BFD7AE4"/>
    <w:rsid w:val="5C0328BB"/>
    <w:rsid w:val="5C09010C"/>
    <w:rsid w:val="5C0923F0"/>
    <w:rsid w:val="5C105C12"/>
    <w:rsid w:val="5C1273B9"/>
    <w:rsid w:val="5C1D7128"/>
    <w:rsid w:val="5C277D32"/>
    <w:rsid w:val="5C31171C"/>
    <w:rsid w:val="5C36058B"/>
    <w:rsid w:val="5C3E7B67"/>
    <w:rsid w:val="5C3F182C"/>
    <w:rsid w:val="5C4D60DF"/>
    <w:rsid w:val="5C4F35A9"/>
    <w:rsid w:val="5C5806E4"/>
    <w:rsid w:val="5C5A45ED"/>
    <w:rsid w:val="5C5B5A5D"/>
    <w:rsid w:val="5C6A6066"/>
    <w:rsid w:val="5C6E014A"/>
    <w:rsid w:val="5C6E4F44"/>
    <w:rsid w:val="5C756AE2"/>
    <w:rsid w:val="5C7C3DCA"/>
    <w:rsid w:val="5C802F9A"/>
    <w:rsid w:val="5C8465A7"/>
    <w:rsid w:val="5C8C6671"/>
    <w:rsid w:val="5C9059F6"/>
    <w:rsid w:val="5C9C2E57"/>
    <w:rsid w:val="5CA501D0"/>
    <w:rsid w:val="5CAE66F1"/>
    <w:rsid w:val="5CBA3857"/>
    <w:rsid w:val="5CC43038"/>
    <w:rsid w:val="5CCB6C4F"/>
    <w:rsid w:val="5CDE58BA"/>
    <w:rsid w:val="5CE1735E"/>
    <w:rsid w:val="5CF41C7F"/>
    <w:rsid w:val="5D086245"/>
    <w:rsid w:val="5D0B617D"/>
    <w:rsid w:val="5D105486"/>
    <w:rsid w:val="5D1903A7"/>
    <w:rsid w:val="5D2516FD"/>
    <w:rsid w:val="5D325194"/>
    <w:rsid w:val="5D373D42"/>
    <w:rsid w:val="5D3C3C4B"/>
    <w:rsid w:val="5D4C2D30"/>
    <w:rsid w:val="5D6260BA"/>
    <w:rsid w:val="5D646719"/>
    <w:rsid w:val="5D663169"/>
    <w:rsid w:val="5D8D767C"/>
    <w:rsid w:val="5D9A0A70"/>
    <w:rsid w:val="5DB23CDA"/>
    <w:rsid w:val="5DB36A76"/>
    <w:rsid w:val="5DB66881"/>
    <w:rsid w:val="5DBA17D4"/>
    <w:rsid w:val="5DCB6CBB"/>
    <w:rsid w:val="5DD1515B"/>
    <w:rsid w:val="5DD4083A"/>
    <w:rsid w:val="5DD443C4"/>
    <w:rsid w:val="5DD53A44"/>
    <w:rsid w:val="5DDB59A1"/>
    <w:rsid w:val="5DE04DA0"/>
    <w:rsid w:val="5DEB43AB"/>
    <w:rsid w:val="5DF00644"/>
    <w:rsid w:val="5DF20DBF"/>
    <w:rsid w:val="5DF831F2"/>
    <w:rsid w:val="5DFC4C68"/>
    <w:rsid w:val="5E033B1D"/>
    <w:rsid w:val="5E066396"/>
    <w:rsid w:val="5E0E73BC"/>
    <w:rsid w:val="5E136ECD"/>
    <w:rsid w:val="5E1B04BF"/>
    <w:rsid w:val="5E1D61FF"/>
    <w:rsid w:val="5E1E763F"/>
    <w:rsid w:val="5E297091"/>
    <w:rsid w:val="5E3E3EEA"/>
    <w:rsid w:val="5E417410"/>
    <w:rsid w:val="5E441C84"/>
    <w:rsid w:val="5E4D12D5"/>
    <w:rsid w:val="5E541CD1"/>
    <w:rsid w:val="5E635AAC"/>
    <w:rsid w:val="5E6A61AB"/>
    <w:rsid w:val="5E6F6A7D"/>
    <w:rsid w:val="5E81261B"/>
    <w:rsid w:val="5EA2202F"/>
    <w:rsid w:val="5EA5178F"/>
    <w:rsid w:val="5EB111EC"/>
    <w:rsid w:val="5ECF4603"/>
    <w:rsid w:val="5ED26FDA"/>
    <w:rsid w:val="5EE17B74"/>
    <w:rsid w:val="5EF47958"/>
    <w:rsid w:val="5EFE4C86"/>
    <w:rsid w:val="5EFE7519"/>
    <w:rsid w:val="5F067FF7"/>
    <w:rsid w:val="5F16643B"/>
    <w:rsid w:val="5F185687"/>
    <w:rsid w:val="5F1E04C1"/>
    <w:rsid w:val="5F337594"/>
    <w:rsid w:val="5F3A46F9"/>
    <w:rsid w:val="5F4010BA"/>
    <w:rsid w:val="5F454FED"/>
    <w:rsid w:val="5F4C4DD2"/>
    <w:rsid w:val="5F5C1320"/>
    <w:rsid w:val="5F664CA6"/>
    <w:rsid w:val="5F780931"/>
    <w:rsid w:val="5F7A4170"/>
    <w:rsid w:val="5F8007B1"/>
    <w:rsid w:val="5F8F3FA4"/>
    <w:rsid w:val="5F903A93"/>
    <w:rsid w:val="5F9628FB"/>
    <w:rsid w:val="5F993D8F"/>
    <w:rsid w:val="5F9A28D6"/>
    <w:rsid w:val="5FA12E4B"/>
    <w:rsid w:val="5FB36F12"/>
    <w:rsid w:val="5FB6120F"/>
    <w:rsid w:val="5FB758C9"/>
    <w:rsid w:val="5FBA62F3"/>
    <w:rsid w:val="5FBB03CF"/>
    <w:rsid w:val="5FC3566A"/>
    <w:rsid w:val="5FC41DF4"/>
    <w:rsid w:val="5FCB1BA7"/>
    <w:rsid w:val="5FD23E08"/>
    <w:rsid w:val="5FD253D1"/>
    <w:rsid w:val="5FE477FC"/>
    <w:rsid w:val="5FF74F7D"/>
    <w:rsid w:val="60190ACE"/>
    <w:rsid w:val="60201181"/>
    <w:rsid w:val="602610DE"/>
    <w:rsid w:val="60674975"/>
    <w:rsid w:val="60702AF0"/>
    <w:rsid w:val="607E59F4"/>
    <w:rsid w:val="6081032D"/>
    <w:rsid w:val="60886D9D"/>
    <w:rsid w:val="60896F86"/>
    <w:rsid w:val="608E2F5B"/>
    <w:rsid w:val="6096578C"/>
    <w:rsid w:val="60986CE1"/>
    <w:rsid w:val="609947AF"/>
    <w:rsid w:val="60997ABA"/>
    <w:rsid w:val="609F41B1"/>
    <w:rsid w:val="60B23EAC"/>
    <w:rsid w:val="60BE3A2E"/>
    <w:rsid w:val="60C47BA5"/>
    <w:rsid w:val="60C5279C"/>
    <w:rsid w:val="60CF454D"/>
    <w:rsid w:val="60D34F27"/>
    <w:rsid w:val="60D37CBC"/>
    <w:rsid w:val="60E41A93"/>
    <w:rsid w:val="60EF476B"/>
    <w:rsid w:val="60F17642"/>
    <w:rsid w:val="60F34219"/>
    <w:rsid w:val="61032CD6"/>
    <w:rsid w:val="61052E21"/>
    <w:rsid w:val="61075DC7"/>
    <w:rsid w:val="61077BAC"/>
    <w:rsid w:val="61185816"/>
    <w:rsid w:val="611B4F64"/>
    <w:rsid w:val="612C71CA"/>
    <w:rsid w:val="61366ED3"/>
    <w:rsid w:val="613D6896"/>
    <w:rsid w:val="61403487"/>
    <w:rsid w:val="614502B5"/>
    <w:rsid w:val="614A1824"/>
    <w:rsid w:val="614B2867"/>
    <w:rsid w:val="614F5FC7"/>
    <w:rsid w:val="617216A8"/>
    <w:rsid w:val="61760805"/>
    <w:rsid w:val="61814D5C"/>
    <w:rsid w:val="61827E73"/>
    <w:rsid w:val="61962F08"/>
    <w:rsid w:val="61A52B00"/>
    <w:rsid w:val="61B26068"/>
    <w:rsid w:val="61B304AF"/>
    <w:rsid w:val="61B43CCE"/>
    <w:rsid w:val="61B6094D"/>
    <w:rsid w:val="61BA0E5D"/>
    <w:rsid w:val="61C20676"/>
    <w:rsid w:val="61D953DF"/>
    <w:rsid w:val="61DB50EB"/>
    <w:rsid w:val="61E74D46"/>
    <w:rsid w:val="61E84F1B"/>
    <w:rsid w:val="61F83632"/>
    <w:rsid w:val="61F83FF6"/>
    <w:rsid w:val="61F91083"/>
    <w:rsid w:val="61FA2F62"/>
    <w:rsid w:val="61FC0134"/>
    <w:rsid w:val="61FC6009"/>
    <w:rsid w:val="620301B0"/>
    <w:rsid w:val="62046D1C"/>
    <w:rsid w:val="620A7162"/>
    <w:rsid w:val="620C06D2"/>
    <w:rsid w:val="621177AB"/>
    <w:rsid w:val="622028A8"/>
    <w:rsid w:val="6226339C"/>
    <w:rsid w:val="622A47C3"/>
    <w:rsid w:val="623162DA"/>
    <w:rsid w:val="62394DB2"/>
    <w:rsid w:val="624163E3"/>
    <w:rsid w:val="62493CCF"/>
    <w:rsid w:val="624D19F8"/>
    <w:rsid w:val="624D6C56"/>
    <w:rsid w:val="624E5BD7"/>
    <w:rsid w:val="624E7903"/>
    <w:rsid w:val="62522BF9"/>
    <w:rsid w:val="625C183B"/>
    <w:rsid w:val="625E0203"/>
    <w:rsid w:val="62664CD9"/>
    <w:rsid w:val="626F0622"/>
    <w:rsid w:val="62724EC0"/>
    <w:rsid w:val="62906A7A"/>
    <w:rsid w:val="629435BC"/>
    <w:rsid w:val="62973B86"/>
    <w:rsid w:val="62A01AA2"/>
    <w:rsid w:val="62BE4CAB"/>
    <w:rsid w:val="62C53313"/>
    <w:rsid w:val="62D24C15"/>
    <w:rsid w:val="62D80F6F"/>
    <w:rsid w:val="62E229D0"/>
    <w:rsid w:val="62E84ECB"/>
    <w:rsid w:val="62EF7C21"/>
    <w:rsid w:val="62F971DE"/>
    <w:rsid w:val="63010CAF"/>
    <w:rsid w:val="63051203"/>
    <w:rsid w:val="630A529B"/>
    <w:rsid w:val="630E4C67"/>
    <w:rsid w:val="63115D6E"/>
    <w:rsid w:val="631A1F3F"/>
    <w:rsid w:val="631A4E4D"/>
    <w:rsid w:val="631A73AF"/>
    <w:rsid w:val="631D4CE3"/>
    <w:rsid w:val="632C7D9C"/>
    <w:rsid w:val="63330C1B"/>
    <w:rsid w:val="63474C75"/>
    <w:rsid w:val="634B7EA8"/>
    <w:rsid w:val="634D4EF3"/>
    <w:rsid w:val="634F7FB9"/>
    <w:rsid w:val="636016BC"/>
    <w:rsid w:val="63657E6E"/>
    <w:rsid w:val="63686731"/>
    <w:rsid w:val="6369079C"/>
    <w:rsid w:val="636B46E3"/>
    <w:rsid w:val="636B4B97"/>
    <w:rsid w:val="636F5F7A"/>
    <w:rsid w:val="6372006C"/>
    <w:rsid w:val="6373524C"/>
    <w:rsid w:val="63787E07"/>
    <w:rsid w:val="637F1D06"/>
    <w:rsid w:val="638409ED"/>
    <w:rsid w:val="63852BFD"/>
    <w:rsid w:val="638D4E6D"/>
    <w:rsid w:val="638F5956"/>
    <w:rsid w:val="639049FB"/>
    <w:rsid w:val="6394287D"/>
    <w:rsid w:val="63987222"/>
    <w:rsid w:val="639929E9"/>
    <w:rsid w:val="639B3C00"/>
    <w:rsid w:val="63A860AE"/>
    <w:rsid w:val="63B05962"/>
    <w:rsid w:val="63B153BB"/>
    <w:rsid w:val="63B24745"/>
    <w:rsid w:val="63B30D3F"/>
    <w:rsid w:val="63B62565"/>
    <w:rsid w:val="63B94F7E"/>
    <w:rsid w:val="63C03E23"/>
    <w:rsid w:val="63DA03A8"/>
    <w:rsid w:val="63E05D0B"/>
    <w:rsid w:val="63E666E4"/>
    <w:rsid w:val="63EC33FE"/>
    <w:rsid w:val="63F309EA"/>
    <w:rsid w:val="63FA5DBC"/>
    <w:rsid w:val="640E7BDE"/>
    <w:rsid w:val="64130CBA"/>
    <w:rsid w:val="6414351A"/>
    <w:rsid w:val="64194B06"/>
    <w:rsid w:val="64195C18"/>
    <w:rsid w:val="641D0553"/>
    <w:rsid w:val="641D3CEC"/>
    <w:rsid w:val="641E2CCF"/>
    <w:rsid w:val="64266627"/>
    <w:rsid w:val="642C32B8"/>
    <w:rsid w:val="643315CF"/>
    <w:rsid w:val="64482076"/>
    <w:rsid w:val="644A0C2D"/>
    <w:rsid w:val="644F6583"/>
    <w:rsid w:val="64695226"/>
    <w:rsid w:val="64723F93"/>
    <w:rsid w:val="6490357F"/>
    <w:rsid w:val="64962740"/>
    <w:rsid w:val="64964837"/>
    <w:rsid w:val="64974223"/>
    <w:rsid w:val="64A64FA1"/>
    <w:rsid w:val="64B04B6C"/>
    <w:rsid w:val="64B42A9B"/>
    <w:rsid w:val="64BA12E4"/>
    <w:rsid w:val="64BD5068"/>
    <w:rsid w:val="64C1448C"/>
    <w:rsid w:val="64C575CD"/>
    <w:rsid w:val="64C97FC8"/>
    <w:rsid w:val="64D01EC6"/>
    <w:rsid w:val="64D0712E"/>
    <w:rsid w:val="64D703D3"/>
    <w:rsid w:val="64DA3B7F"/>
    <w:rsid w:val="64EF6ED0"/>
    <w:rsid w:val="65000940"/>
    <w:rsid w:val="650949DA"/>
    <w:rsid w:val="65096472"/>
    <w:rsid w:val="65123692"/>
    <w:rsid w:val="65160A7A"/>
    <w:rsid w:val="651903AA"/>
    <w:rsid w:val="651A1677"/>
    <w:rsid w:val="651C7720"/>
    <w:rsid w:val="65281799"/>
    <w:rsid w:val="653037BC"/>
    <w:rsid w:val="65344F9B"/>
    <w:rsid w:val="6541015C"/>
    <w:rsid w:val="65451E72"/>
    <w:rsid w:val="654E5913"/>
    <w:rsid w:val="654F24C6"/>
    <w:rsid w:val="655E0572"/>
    <w:rsid w:val="65661E29"/>
    <w:rsid w:val="656732DA"/>
    <w:rsid w:val="65736314"/>
    <w:rsid w:val="65746908"/>
    <w:rsid w:val="65777F05"/>
    <w:rsid w:val="65783268"/>
    <w:rsid w:val="657B7424"/>
    <w:rsid w:val="65954830"/>
    <w:rsid w:val="659E59B2"/>
    <w:rsid w:val="659E6D42"/>
    <w:rsid w:val="65A76E6F"/>
    <w:rsid w:val="65AF4147"/>
    <w:rsid w:val="65B6147E"/>
    <w:rsid w:val="65BA45C5"/>
    <w:rsid w:val="65D531DB"/>
    <w:rsid w:val="65D6339F"/>
    <w:rsid w:val="65E85C84"/>
    <w:rsid w:val="660A2255"/>
    <w:rsid w:val="660F64B8"/>
    <w:rsid w:val="6615183A"/>
    <w:rsid w:val="66203220"/>
    <w:rsid w:val="66290E7F"/>
    <w:rsid w:val="66323A48"/>
    <w:rsid w:val="66323ABF"/>
    <w:rsid w:val="66351BA1"/>
    <w:rsid w:val="6646740B"/>
    <w:rsid w:val="66467AE3"/>
    <w:rsid w:val="664C4300"/>
    <w:rsid w:val="66581178"/>
    <w:rsid w:val="66587E6E"/>
    <w:rsid w:val="665B302D"/>
    <w:rsid w:val="66610FA6"/>
    <w:rsid w:val="66662904"/>
    <w:rsid w:val="666C56F2"/>
    <w:rsid w:val="6675602B"/>
    <w:rsid w:val="66781732"/>
    <w:rsid w:val="66935A65"/>
    <w:rsid w:val="66956495"/>
    <w:rsid w:val="6699430C"/>
    <w:rsid w:val="6699668D"/>
    <w:rsid w:val="669D4891"/>
    <w:rsid w:val="66A00F6F"/>
    <w:rsid w:val="66A2314F"/>
    <w:rsid w:val="66A83B71"/>
    <w:rsid w:val="66A85E00"/>
    <w:rsid w:val="66BB64FA"/>
    <w:rsid w:val="66C851FD"/>
    <w:rsid w:val="66DC597C"/>
    <w:rsid w:val="66E071A7"/>
    <w:rsid w:val="66EE639A"/>
    <w:rsid w:val="66F46FC6"/>
    <w:rsid w:val="66FE3E6A"/>
    <w:rsid w:val="66FF59E9"/>
    <w:rsid w:val="670522B3"/>
    <w:rsid w:val="670B6FF4"/>
    <w:rsid w:val="67126AE1"/>
    <w:rsid w:val="671866D7"/>
    <w:rsid w:val="67224097"/>
    <w:rsid w:val="672952E1"/>
    <w:rsid w:val="673935A6"/>
    <w:rsid w:val="673A397D"/>
    <w:rsid w:val="674E40BD"/>
    <w:rsid w:val="675207DD"/>
    <w:rsid w:val="67536FC6"/>
    <w:rsid w:val="67587EC7"/>
    <w:rsid w:val="676F0A77"/>
    <w:rsid w:val="67760A15"/>
    <w:rsid w:val="67761EA8"/>
    <w:rsid w:val="67842404"/>
    <w:rsid w:val="67971D0C"/>
    <w:rsid w:val="679B68A3"/>
    <w:rsid w:val="679F175F"/>
    <w:rsid w:val="67A0318F"/>
    <w:rsid w:val="67A56DA6"/>
    <w:rsid w:val="67B005A6"/>
    <w:rsid w:val="67B354EE"/>
    <w:rsid w:val="67B64ACC"/>
    <w:rsid w:val="67CA39A1"/>
    <w:rsid w:val="67CA621D"/>
    <w:rsid w:val="67CD17E0"/>
    <w:rsid w:val="67D35FDC"/>
    <w:rsid w:val="67E3458F"/>
    <w:rsid w:val="67E4689D"/>
    <w:rsid w:val="67FB21E5"/>
    <w:rsid w:val="6805788E"/>
    <w:rsid w:val="680C598B"/>
    <w:rsid w:val="681732EF"/>
    <w:rsid w:val="681770EB"/>
    <w:rsid w:val="68360CF9"/>
    <w:rsid w:val="683820DF"/>
    <w:rsid w:val="68392E0C"/>
    <w:rsid w:val="683B577A"/>
    <w:rsid w:val="683E72A5"/>
    <w:rsid w:val="68431837"/>
    <w:rsid w:val="684C2725"/>
    <w:rsid w:val="684C2A2C"/>
    <w:rsid w:val="684C4BD9"/>
    <w:rsid w:val="684F4698"/>
    <w:rsid w:val="685C3C74"/>
    <w:rsid w:val="68665B7B"/>
    <w:rsid w:val="6879624B"/>
    <w:rsid w:val="689378C0"/>
    <w:rsid w:val="68937D5B"/>
    <w:rsid w:val="689B7CA9"/>
    <w:rsid w:val="68AC3EAB"/>
    <w:rsid w:val="68BD5B96"/>
    <w:rsid w:val="68C02C8B"/>
    <w:rsid w:val="68C15612"/>
    <w:rsid w:val="68CC0A97"/>
    <w:rsid w:val="68DA3ABA"/>
    <w:rsid w:val="68E13F09"/>
    <w:rsid w:val="68E15009"/>
    <w:rsid w:val="68E667B1"/>
    <w:rsid w:val="690B768B"/>
    <w:rsid w:val="69126A41"/>
    <w:rsid w:val="69133E55"/>
    <w:rsid w:val="692A346F"/>
    <w:rsid w:val="692A4834"/>
    <w:rsid w:val="69300B1C"/>
    <w:rsid w:val="6934654C"/>
    <w:rsid w:val="693A2142"/>
    <w:rsid w:val="693C6714"/>
    <w:rsid w:val="693F0B86"/>
    <w:rsid w:val="695338A0"/>
    <w:rsid w:val="6967744A"/>
    <w:rsid w:val="69742793"/>
    <w:rsid w:val="697C1E59"/>
    <w:rsid w:val="69800351"/>
    <w:rsid w:val="69840057"/>
    <w:rsid w:val="69866139"/>
    <w:rsid w:val="69974020"/>
    <w:rsid w:val="699B56BD"/>
    <w:rsid w:val="69A05FE8"/>
    <w:rsid w:val="69AC2D0A"/>
    <w:rsid w:val="69B20687"/>
    <w:rsid w:val="69B52798"/>
    <w:rsid w:val="69BC63F3"/>
    <w:rsid w:val="69CA59B5"/>
    <w:rsid w:val="69CC698D"/>
    <w:rsid w:val="69CF5065"/>
    <w:rsid w:val="69D12380"/>
    <w:rsid w:val="69D713BE"/>
    <w:rsid w:val="69DB034B"/>
    <w:rsid w:val="69DD5230"/>
    <w:rsid w:val="69E3113E"/>
    <w:rsid w:val="69E34705"/>
    <w:rsid w:val="69F92903"/>
    <w:rsid w:val="69FB1312"/>
    <w:rsid w:val="6A003067"/>
    <w:rsid w:val="6A02637D"/>
    <w:rsid w:val="6A032BC4"/>
    <w:rsid w:val="6A04767B"/>
    <w:rsid w:val="6A105D3E"/>
    <w:rsid w:val="6A1D139B"/>
    <w:rsid w:val="6A2E24A7"/>
    <w:rsid w:val="6A3A3273"/>
    <w:rsid w:val="6A3A6086"/>
    <w:rsid w:val="6A400268"/>
    <w:rsid w:val="6A420918"/>
    <w:rsid w:val="6A4E1147"/>
    <w:rsid w:val="6A650E59"/>
    <w:rsid w:val="6A69355F"/>
    <w:rsid w:val="6A7A443E"/>
    <w:rsid w:val="6A84200D"/>
    <w:rsid w:val="6A871FA4"/>
    <w:rsid w:val="6A8B0D6F"/>
    <w:rsid w:val="6A8F5F5C"/>
    <w:rsid w:val="6AA258DF"/>
    <w:rsid w:val="6AAB67D3"/>
    <w:rsid w:val="6AB10EFA"/>
    <w:rsid w:val="6AB47A23"/>
    <w:rsid w:val="6ABF44D2"/>
    <w:rsid w:val="6AC01B56"/>
    <w:rsid w:val="6AC60F3F"/>
    <w:rsid w:val="6ACA0437"/>
    <w:rsid w:val="6AD21661"/>
    <w:rsid w:val="6ADF4528"/>
    <w:rsid w:val="6AE06B7F"/>
    <w:rsid w:val="6AEC458B"/>
    <w:rsid w:val="6AEF6767"/>
    <w:rsid w:val="6AF01DF4"/>
    <w:rsid w:val="6AF722D6"/>
    <w:rsid w:val="6AF96B4F"/>
    <w:rsid w:val="6B032970"/>
    <w:rsid w:val="6B05071E"/>
    <w:rsid w:val="6B1E7330"/>
    <w:rsid w:val="6B2C3E2C"/>
    <w:rsid w:val="6B3633BF"/>
    <w:rsid w:val="6B397772"/>
    <w:rsid w:val="6B3D2623"/>
    <w:rsid w:val="6B485536"/>
    <w:rsid w:val="6B4B6714"/>
    <w:rsid w:val="6B512887"/>
    <w:rsid w:val="6B524A72"/>
    <w:rsid w:val="6B57202C"/>
    <w:rsid w:val="6B606D0F"/>
    <w:rsid w:val="6B6B0CC7"/>
    <w:rsid w:val="6B71399E"/>
    <w:rsid w:val="6B854B65"/>
    <w:rsid w:val="6B861B23"/>
    <w:rsid w:val="6B92478A"/>
    <w:rsid w:val="6B936662"/>
    <w:rsid w:val="6B9B04A7"/>
    <w:rsid w:val="6B9C63F4"/>
    <w:rsid w:val="6BA54A99"/>
    <w:rsid w:val="6BAC2C00"/>
    <w:rsid w:val="6BAD3532"/>
    <w:rsid w:val="6BBA51D6"/>
    <w:rsid w:val="6BC44129"/>
    <w:rsid w:val="6BD31549"/>
    <w:rsid w:val="6BD50BA0"/>
    <w:rsid w:val="6BD53A9E"/>
    <w:rsid w:val="6BD61646"/>
    <w:rsid w:val="6BD81CED"/>
    <w:rsid w:val="6BDF25E3"/>
    <w:rsid w:val="6BEC4263"/>
    <w:rsid w:val="6BED645D"/>
    <w:rsid w:val="6BEE0B17"/>
    <w:rsid w:val="6BF21DA1"/>
    <w:rsid w:val="6BF53432"/>
    <w:rsid w:val="6BF876F8"/>
    <w:rsid w:val="6C015A11"/>
    <w:rsid w:val="6C036E63"/>
    <w:rsid w:val="6C0C54F0"/>
    <w:rsid w:val="6C0D0DB2"/>
    <w:rsid w:val="6C0D35AE"/>
    <w:rsid w:val="6C103E45"/>
    <w:rsid w:val="6C141DD0"/>
    <w:rsid w:val="6C2A3C11"/>
    <w:rsid w:val="6C2D4990"/>
    <w:rsid w:val="6C38352F"/>
    <w:rsid w:val="6C3D203A"/>
    <w:rsid w:val="6C4C3DA1"/>
    <w:rsid w:val="6C4D71FE"/>
    <w:rsid w:val="6C50624B"/>
    <w:rsid w:val="6C552F41"/>
    <w:rsid w:val="6C5A0F44"/>
    <w:rsid w:val="6C6661D0"/>
    <w:rsid w:val="6C713B28"/>
    <w:rsid w:val="6C751BFE"/>
    <w:rsid w:val="6C7D6DBD"/>
    <w:rsid w:val="6C7F5907"/>
    <w:rsid w:val="6C816040"/>
    <w:rsid w:val="6C86422B"/>
    <w:rsid w:val="6C944515"/>
    <w:rsid w:val="6CB07A06"/>
    <w:rsid w:val="6CC12B02"/>
    <w:rsid w:val="6CC9715F"/>
    <w:rsid w:val="6CD51938"/>
    <w:rsid w:val="6CD70286"/>
    <w:rsid w:val="6CDB0F24"/>
    <w:rsid w:val="6CDE3BEF"/>
    <w:rsid w:val="6CE31552"/>
    <w:rsid w:val="6CE813E6"/>
    <w:rsid w:val="6CED0409"/>
    <w:rsid w:val="6CF81862"/>
    <w:rsid w:val="6CFF5E26"/>
    <w:rsid w:val="6D162F07"/>
    <w:rsid w:val="6D1B023C"/>
    <w:rsid w:val="6D1D6F1E"/>
    <w:rsid w:val="6D26720C"/>
    <w:rsid w:val="6D30426D"/>
    <w:rsid w:val="6D425D94"/>
    <w:rsid w:val="6D5320B2"/>
    <w:rsid w:val="6D5D1451"/>
    <w:rsid w:val="6D5F206D"/>
    <w:rsid w:val="6D5F55B8"/>
    <w:rsid w:val="6D605099"/>
    <w:rsid w:val="6D6B16F8"/>
    <w:rsid w:val="6D74711C"/>
    <w:rsid w:val="6D765FFF"/>
    <w:rsid w:val="6D7F263B"/>
    <w:rsid w:val="6D8766DD"/>
    <w:rsid w:val="6D9546CD"/>
    <w:rsid w:val="6D973E98"/>
    <w:rsid w:val="6D994400"/>
    <w:rsid w:val="6D9A1F1C"/>
    <w:rsid w:val="6D9C0B7B"/>
    <w:rsid w:val="6D9F089E"/>
    <w:rsid w:val="6DA2503A"/>
    <w:rsid w:val="6DAB184F"/>
    <w:rsid w:val="6DAE6DC8"/>
    <w:rsid w:val="6DB260B1"/>
    <w:rsid w:val="6DB43C7E"/>
    <w:rsid w:val="6DB46D7E"/>
    <w:rsid w:val="6DBB75A2"/>
    <w:rsid w:val="6DBD0D54"/>
    <w:rsid w:val="6DC2280B"/>
    <w:rsid w:val="6DC956FD"/>
    <w:rsid w:val="6DD500CD"/>
    <w:rsid w:val="6DD57CA3"/>
    <w:rsid w:val="6DD73BD4"/>
    <w:rsid w:val="6DDD2281"/>
    <w:rsid w:val="6DE57953"/>
    <w:rsid w:val="6DE77864"/>
    <w:rsid w:val="6DEE1E3C"/>
    <w:rsid w:val="6DFC6B15"/>
    <w:rsid w:val="6E0948C2"/>
    <w:rsid w:val="6E0D38EA"/>
    <w:rsid w:val="6E257D94"/>
    <w:rsid w:val="6E282677"/>
    <w:rsid w:val="6E2A6D57"/>
    <w:rsid w:val="6E3B0372"/>
    <w:rsid w:val="6E407327"/>
    <w:rsid w:val="6E437F31"/>
    <w:rsid w:val="6E503D24"/>
    <w:rsid w:val="6E587C1E"/>
    <w:rsid w:val="6E5C5ECD"/>
    <w:rsid w:val="6E623F43"/>
    <w:rsid w:val="6E6F28EF"/>
    <w:rsid w:val="6E7C2945"/>
    <w:rsid w:val="6E822A23"/>
    <w:rsid w:val="6E9A77E6"/>
    <w:rsid w:val="6ED7037E"/>
    <w:rsid w:val="6EE34EE9"/>
    <w:rsid w:val="6EEE6CBD"/>
    <w:rsid w:val="6EF12B72"/>
    <w:rsid w:val="6EF800FF"/>
    <w:rsid w:val="6EFB5CD9"/>
    <w:rsid w:val="6EFE1834"/>
    <w:rsid w:val="6EFF7B0C"/>
    <w:rsid w:val="6F06468E"/>
    <w:rsid w:val="6F1E5B39"/>
    <w:rsid w:val="6F1F2151"/>
    <w:rsid w:val="6F291EC3"/>
    <w:rsid w:val="6F326E8A"/>
    <w:rsid w:val="6F336D3B"/>
    <w:rsid w:val="6F364337"/>
    <w:rsid w:val="6F3D2EE3"/>
    <w:rsid w:val="6F487A62"/>
    <w:rsid w:val="6F4C2399"/>
    <w:rsid w:val="6F6E46E5"/>
    <w:rsid w:val="6F7633D5"/>
    <w:rsid w:val="6F926105"/>
    <w:rsid w:val="6F936DA7"/>
    <w:rsid w:val="6FAD7FAF"/>
    <w:rsid w:val="6FBA04AD"/>
    <w:rsid w:val="6FC14CA3"/>
    <w:rsid w:val="6FC45506"/>
    <w:rsid w:val="6FD528F5"/>
    <w:rsid w:val="6FDB3FEE"/>
    <w:rsid w:val="6FF71E72"/>
    <w:rsid w:val="700B27F1"/>
    <w:rsid w:val="701148CE"/>
    <w:rsid w:val="70171570"/>
    <w:rsid w:val="703D0026"/>
    <w:rsid w:val="703D7298"/>
    <w:rsid w:val="704B4F8D"/>
    <w:rsid w:val="704E4E10"/>
    <w:rsid w:val="70530345"/>
    <w:rsid w:val="70533016"/>
    <w:rsid w:val="705C4333"/>
    <w:rsid w:val="70622A48"/>
    <w:rsid w:val="70640158"/>
    <w:rsid w:val="706C1984"/>
    <w:rsid w:val="70705C0A"/>
    <w:rsid w:val="707C2CF5"/>
    <w:rsid w:val="708910A6"/>
    <w:rsid w:val="708A37D7"/>
    <w:rsid w:val="70901228"/>
    <w:rsid w:val="7091571B"/>
    <w:rsid w:val="70A4167A"/>
    <w:rsid w:val="70A77045"/>
    <w:rsid w:val="70AA275B"/>
    <w:rsid w:val="70B2120A"/>
    <w:rsid w:val="70C65CDF"/>
    <w:rsid w:val="70C764CD"/>
    <w:rsid w:val="70CC199C"/>
    <w:rsid w:val="70CE4795"/>
    <w:rsid w:val="70D205FE"/>
    <w:rsid w:val="70DC3057"/>
    <w:rsid w:val="70DD4AFB"/>
    <w:rsid w:val="70DD793A"/>
    <w:rsid w:val="70E8245B"/>
    <w:rsid w:val="7105111E"/>
    <w:rsid w:val="7117423C"/>
    <w:rsid w:val="711916EC"/>
    <w:rsid w:val="71214770"/>
    <w:rsid w:val="712808F4"/>
    <w:rsid w:val="713479FA"/>
    <w:rsid w:val="713C1A1B"/>
    <w:rsid w:val="7141507C"/>
    <w:rsid w:val="71473367"/>
    <w:rsid w:val="71587741"/>
    <w:rsid w:val="717015D1"/>
    <w:rsid w:val="71704A36"/>
    <w:rsid w:val="71743132"/>
    <w:rsid w:val="71794AA2"/>
    <w:rsid w:val="717F746D"/>
    <w:rsid w:val="71824E3E"/>
    <w:rsid w:val="718658E4"/>
    <w:rsid w:val="71912184"/>
    <w:rsid w:val="719E5902"/>
    <w:rsid w:val="71BA27A1"/>
    <w:rsid w:val="71BD61CB"/>
    <w:rsid w:val="71C35752"/>
    <w:rsid w:val="71CA47E9"/>
    <w:rsid w:val="71D25F5B"/>
    <w:rsid w:val="71D445FB"/>
    <w:rsid w:val="71DB0FA8"/>
    <w:rsid w:val="71DB4CE0"/>
    <w:rsid w:val="71EB5978"/>
    <w:rsid w:val="71F33AE1"/>
    <w:rsid w:val="71F7556F"/>
    <w:rsid w:val="720B1581"/>
    <w:rsid w:val="721C396E"/>
    <w:rsid w:val="72221A00"/>
    <w:rsid w:val="72231BA8"/>
    <w:rsid w:val="72232266"/>
    <w:rsid w:val="722C54A3"/>
    <w:rsid w:val="72350A0C"/>
    <w:rsid w:val="72383F61"/>
    <w:rsid w:val="723C7C76"/>
    <w:rsid w:val="724B7292"/>
    <w:rsid w:val="724C5CA0"/>
    <w:rsid w:val="724D5707"/>
    <w:rsid w:val="7253023D"/>
    <w:rsid w:val="725E03C2"/>
    <w:rsid w:val="72941043"/>
    <w:rsid w:val="72990659"/>
    <w:rsid w:val="72A07B6D"/>
    <w:rsid w:val="72A2593C"/>
    <w:rsid w:val="72AC7415"/>
    <w:rsid w:val="72B844E5"/>
    <w:rsid w:val="72BC2719"/>
    <w:rsid w:val="72C85BEF"/>
    <w:rsid w:val="72CA47E3"/>
    <w:rsid w:val="72CD451D"/>
    <w:rsid w:val="72D07A01"/>
    <w:rsid w:val="72DC46DA"/>
    <w:rsid w:val="72F32716"/>
    <w:rsid w:val="72FA2E42"/>
    <w:rsid w:val="72FD6F73"/>
    <w:rsid w:val="730A0222"/>
    <w:rsid w:val="730B5AA8"/>
    <w:rsid w:val="7313165C"/>
    <w:rsid w:val="73154A17"/>
    <w:rsid w:val="7320739A"/>
    <w:rsid w:val="7322070E"/>
    <w:rsid w:val="73274FF7"/>
    <w:rsid w:val="732902F2"/>
    <w:rsid w:val="73326CAC"/>
    <w:rsid w:val="73442DD9"/>
    <w:rsid w:val="7345755D"/>
    <w:rsid w:val="735772A3"/>
    <w:rsid w:val="73585EB0"/>
    <w:rsid w:val="73607150"/>
    <w:rsid w:val="736B1AA5"/>
    <w:rsid w:val="736C3D15"/>
    <w:rsid w:val="736E280E"/>
    <w:rsid w:val="736F2ECC"/>
    <w:rsid w:val="73707355"/>
    <w:rsid w:val="737254D6"/>
    <w:rsid w:val="73736C68"/>
    <w:rsid w:val="73770345"/>
    <w:rsid w:val="737A3D0A"/>
    <w:rsid w:val="737D7108"/>
    <w:rsid w:val="73A1660A"/>
    <w:rsid w:val="73AB1324"/>
    <w:rsid w:val="73B95F7A"/>
    <w:rsid w:val="73BB4932"/>
    <w:rsid w:val="73C300E0"/>
    <w:rsid w:val="73C36905"/>
    <w:rsid w:val="73D45958"/>
    <w:rsid w:val="73E77061"/>
    <w:rsid w:val="742646B1"/>
    <w:rsid w:val="74285A44"/>
    <w:rsid w:val="742F0D25"/>
    <w:rsid w:val="74362EFC"/>
    <w:rsid w:val="743654BE"/>
    <w:rsid w:val="74405463"/>
    <w:rsid w:val="744A29D7"/>
    <w:rsid w:val="744C3FCA"/>
    <w:rsid w:val="744C5717"/>
    <w:rsid w:val="7454638B"/>
    <w:rsid w:val="745A2235"/>
    <w:rsid w:val="745F4E78"/>
    <w:rsid w:val="745F58C9"/>
    <w:rsid w:val="746D2286"/>
    <w:rsid w:val="747702FE"/>
    <w:rsid w:val="747E4BC0"/>
    <w:rsid w:val="74882603"/>
    <w:rsid w:val="748B73CA"/>
    <w:rsid w:val="748C2114"/>
    <w:rsid w:val="748C5778"/>
    <w:rsid w:val="748D5FDB"/>
    <w:rsid w:val="748E5D73"/>
    <w:rsid w:val="74923460"/>
    <w:rsid w:val="749A4BF0"/>
    <w:rsid w:val="74A9728C"/>
    <w:rsid w:val="74B54AA9"/>
    <w:rsid w:val="74C56329"/>
    <w:rsid w:val="74C72505"/>
    <w:rsid w:val="74D2442C"/>
    <w:rsid w:val="74D450AA"/>
    <w:rsid w:val="74DA6D5C"/>
    <w:rsid w:val="74EE66EE"/>
    <w:rsid w:val="74EE775B"/>
    <w:rsid w:val="74F870B1"/>
    <w:rsid w:val="750A7821"/>
    <w:rsid w:val="751E079E"/>
    <w:rsid w:val="752725FC"/>
    <w:rsid w:val="752A6706"/>
    <w:rsid w:val="752F2B1A"/>
    <w:rsid w:val="753429F0"/>
    <w:rsid w:val="75437013"/>
    <w:rsid w:val="754D6753"/>
    <w:rsid w:val="755139F5"/>
    <w:rsid w:val="75534D45"/>
    <w:rsid w:val="75610472"/>
    <w:rsid w:val="756A6FE2"/>
    <w:rsid w:val="756C06A1"/>
    <w:rsid w:val="756E30B4"/>
    <w:rsid w:val="756F50FD"/>
    <w:rsid w:val="757C0EA6"/>
    <w:rsid w:val="75815E06"/>
    <w:rsid w:val="75826BB3"/>
    <w:rsid w:val="758613A5"/>
    <w:rsid w:val="758C53BB"/>
    <w:rsid w:val="759E23E2"/>
    <w:rsid w:val="75B07B9E"/>
    <w:rsid w:val="75BF75C6"/>
    <w:rsid w:val="75D042C6"/>
    <w:rsid w:val="75E22C73"/>
    <w:rsid w:val="75ED14A6"/>
    <w:rsid w:val="75EF2CF0"/>
    <w:rsid w:val="75EF2DEB"/>
    <w:rsid w:val="75F1275A"/>
    <w:rsid w:val="76277EFD"/>
    <w:rsid w:val="76423FD9"/>
    <w:rsid w:val="76477164"/>
    <w:rsid w:val="764A29FA"/>
    <w:rsid w:val="76606FC3"/>
    <w:rsid w:val="76622CB6"/>
    <w:rsid w:val="766E35A9"/>
    <w:rsid w:val="767636AD"/>
    <w:rsid w:val="76787031"/>
    <w:rsid w:val="768573C5"/>
    <w:rsid w:val="76880861"/>
    <w:rsid w:val="76A03502"/>
    <w:rsid w:val="76A41849"/>
    <w:rsid w:val="76AC1CF1"/>
    <w:rsid w:val="76B3533A"/>
    <w:rsid w:val="76BA1244"/>
    <w:rsid w:val="76C20B40"/>
    <w:rsid w:val="76C31E58"/>
    <w:rsid w:val="76C42A7B"/>
    <w:rsid w:val="76C67B12"/>
    <w:rsid w:val="76D63214"/>
    <w:rsid w:val="76D726A5"/>
    <w:rsid w:val="76D800DF"/>
    <w:rsid w:val="76ED6033"/>
    <w:rsid w:val="76EF1E2A"/>
    <w:rsid w:val="76F50971"/>
    <w:rsid w:val="76F75089"/>
    <w:rsid w:val="76FB3F45"/>
    <w:rsid w:val="77144FC7"/>
    <w:rsid w:val="77163BE6"/>
    <w:rsid w:val="77183B9A"/>
    <w:rsid w:val="77193598"/>
    <w:rsid w:val="774122A2"/>
    <w:rsid w:val="775C3D36"/>
    <w:rsid w:val="776431EC"/>
    <w:rsid w:val="777E1B6A"/>
    <w:rsid w:val="777E263E"/>
    <w:rsid w:val="77830973"/>
    <w:rsid w:val="778C17E4"/>
    <w:rsid w:val="7793754F"/>
    <w:rsid w:val="77945CD2"/>
    <w:rsid w:val="779C5F1C"/>
    <w:rsid w:val="779F2A83"/>
    <w:rsid w:val="77AF7179"/>
    <w:rsid w:val="77B86BF5"/>
    <w:rsid w:val="77C01BCC"/>
    <w:rsid w:val="77C33CFA"/>
    <w:rsid w:val="77DA71E8"/>
    <w:rsid w:val="77DF5D5C"/>
    <w:rsid w:val="77E24B6F"/>
    <w:rsid w:val="77E25558"/>
    <w:rsid w:val="77F0023C"/>
    <w:rsid w:val="77F56C55"/>
    <w:rsid w:val="77F638DE"/>
    <w:rsid w:val="77F71011"/>
    <w:rsid w:val="77FC2229"/>
    <w:rsid w:val="7804644F"/>
    <w:rsid w:val="781771C7"/>
    <w:rsid w:val="78232BDA"/>
    <w:rsid w:val="782F6442"/>
    <w:rsid w:val="783432C1"/>
    <w:rsid w:val="78345E4D"/>
    <w:rsid w:val="78392E47"/>
    <w:rsid w:val="7845779A"/>
    <w:rsid w:val="78522DE8"/>
    <w:rsid w:val="78525D9D"/>
    <w:rsid w:val="78537343"/>
    <w:rsid w:val="785744AC"/>
    <w:rsid w:val="78622A10"/>
    <w:rsid w:val="78705751"/>
    <w:rsid w:val="7873032C"/>
    <w:rsid w:val="78731FBE"/>
    <w:rsid w:val="787926DA"/>
    <w:rsid w:val="7885478B"/>
    <w:rsid w:val="78857CE4"/>
    <w:rsid w:val="78907A97"/>
    <w:rsid w:val="78944BAF"/>
    <w:rsid w:val="78B5291A"/>
    <w:rsid w:val="78B76370"/>
    <w:rsid w:val="78BC166E"/>
    <w:rsid w:val="78D714D2"/>
    <w:rsid w:val="78E77B4E"/>
    <w:rsid w:val="78F62093"/>
    <w:rsid w:val="79090B56"/>
    <w:rsid w:val="79126EA3"/>
    <w:rsid w:val="792B7866"/>
    <w:rsid w:val="792D001B"/>
    <w:rsid w:val="7944555C"/>
    <w:rsid w:val="796905DC"/>
    <w:rsid w:val="796C55A2"/>
    <w:rsid w:val="7970290E"/>
    <w:rsid w:val="79723548"/>
    <w:rsid w:val="79790BEC"/>
    <w:rsid w:val="797920BD"/>
    <w:rsid w:val="797B5E8C"/>
    <w:rsid w:val="7982269A"/>
    <w:rsid w:val="799E0C75"/>
    <w:rsid w:val="79A063FD"/>
    <w:rsid w:val="79A458B6"/>
    <w:rsid w:val="79A513CC"/>
    <w:rsid w:val="79B40FA2"/>
    <w:rsid w:val="79B4171C"/>
    <w:rsid w:val="79B71FD8"/>
    <w:rsid w:val="79BB2883"/>
    <w:rsid w:val="79C2102B"/>
    <w:rsid w:val="79C57ED1"/>
    <w:rsid w:val="79CD1EC8"/>
    <w:rsid w:val="79DD4C0A"/>
    <w:rsid w:val="79E466BD"/>
    <w:rsid w:val="79E52522"/>
    <w:rsid w:val="79E56EB7"/>
    <w:rsid w:val="79EC2071"/>
    <w:rsid w:val="79EE52C7"/>
    <w:rsid w:val="79F34CD6"/>
    <w:rsid w:val="79F73056"/>
    <w:rsid w:val="79FC743E"/>
    <w:rsid w:val="7A126E50"/>
    <w:rsid w:val="7A1466D9"/>
    <w:rsid w:val="7A16304F"/>
    <w:rsid w:val="7A1B7DDD"/>
    <w:rsid w:val="7A241451"/>
    <w:rsid w:val="7A2B0EE4"/>
    <w:rsid w:val="7A2E7C23"/>
    <w:rsid w:val="7A3A46FF"/>
    <w:rsid w:val="7A561B68"/>
    <w:rsid w:val="7A580F1F"/>
    <w:rsid w:val="7A5B16D6"/>
    <w:rsid w:val="7A5D1507"/>
    <w:rsid w:val="7A5F20CE"/>
    <w:rsid w:val="7A695154"/>
    <w:rsid w:val="7A6E52AF"/>
    <w:rsid w:val="7A7345B3"/>
    <w:rsid w:val="7A797569"/>
    <w:rsid w:val="7A83252F"/>
    <w:rsid w:val="7A892C81"/>
    <w:rsid w:val="7A903B9B"/>
    <w:rsid w:val="7A9C31FB"/>
    <w:rsid w:val="7AA62C7A"/>
    <w:rsid w:val="7AA70A78"/>
    <w:rsid w:val="7AAA1482"/>
    <w:rsid w:val="7AB26C20"/>
    <w:rsid w:val="7ABC3F56"/>
    <w:rsid w:val="7ABD2D73"/>
    <w:rsid w:val="7ADE133B"/>
    <w:rsid w:val="7AE066A9"/>
    <w:rsid w:val="7AE148F3"/>
    <w:rsid w:val="7AE21645"/>
    <w:rsid w:val="7AE30FBE"/>
    <w:rsid w:val="7AE35EB8"/>
    <w:rsid w:val="7AE54E9C"/>
    <w:rsid w:val="7AE9302A"/>
    <w:rsid w:val="7AF616A0"/>
    <w:rsid w:val="7AFD0232"/>
    <w:rsid w:val="7AFD3F08"/>
    <w:rsid w:val="7B006A44"/>
    <w:rsid w:val="7B013372"/>
    <w:rsid w:val="7B037295"/>
    <w:rsid w:val="7B073A04"/>
    <w:rsid w:val="7B093745"/>
    <w:rsid w:val="7B1C02A4"/>
    <w:rsid w:val="7B1E00A3"/>
    <w:rsid w:val="7B28127A"/>
    <w:rsid w:val="7B2C088B"/>
    <w:rsid w:val="7B2E5D7C"/>
    <w:rsid w:val="7B3061B7"/>
    <w:rsid w:val="7B3D0FC8"/>
    <w:rsid w:val="7B47592A"/>
    <w:rsid w:val="7B476C83"/>
    <w:rsid w:val="7B520551"/>
    <w:rsid w:val="7B5671DD"/>
    <w:rsid w:val="7B5F686F"/>
    <w:rsid w:val="7B821CC4"/>
    <w:rsid w:val="7B8810D4"/>
    <w:rsid w:val="7B890798"/>
    <w:rsid w:val="7B8D2D4B"/>
    <w:rsid w:val="7B906633"/>
    <w:rsid w:val="7B9416D7"/>
    <w:rsid w:val="7B9533FD"/>
    <w:rsid w:val="7B9C2ACC"/>
    <w:rsid w:val="7B9E3960"/>
    <w:rsid w:val="7BA340B5"/>
    <w:rsid w:val="7BAD1BE6"/>
    <w:rsid w:val="7BB870EB"/>
    <w:rsid w:val="7BBB5AA1"/>
    <w:rsid w:val="7BC24A10"/>
    <w:rsid w:val="7BC35BFB"/>
    <w:rsid w:val="7BC36F68"/>
    <w:rsid w:val="7BD565CD"/>
    <w:rsid w:val="7BD80C4F"/>
    <w:rsid w:val="7BDA14A6"/>
    <w:rsid w:val="7BE61F8C"/>
    <w:rsid w:val="7BED3129"/>
    <w:rsid w:val="7BF258E8"/>
    <w:rsid w:val="7BF473BA"/>
    <w:rsid w:val="7BFC51FA"/>
    <w:rsid w:val="7C032DCB"/>
    <w:rsid w:val="7C03520E"/>
    <w:rsid w:val="7C095060"/>
    <w:rsid w:val="7C0E556A"/>
    <w:rsid w:val="7C22653E"/>
    <w:rsid w:val="7C297F2B"/>
    <w:rsid w:val="7C3D3C74"/>
    <w:rsid w:val="7C5C15D6"/>
    <w:rsid w:val="7C61422D"/>
    <w:rsid w:val="7C686097"/>
    <w:rsid w:val="7C7849B6"/>
    <w:rsid w:val="7C8154F4"/>
    <w:rsid w:val="7C853940"/>
    <w:rsid w:val="7C875228"/>
    <w:rsid w:val="7C880C1E"/>
    <w:rsid w:val="7C8B4F61"/>
    <w:rsid w:val="7CA14455"/>
    <w:rsid w:val="7CA8220E"/>
    <w:rsid w:val="7CC86C66"/>
    <w:rsid w:val="7CDF39FA"/>
    <w:rsid w:val="7CE72A32"/>
    <w:rsid w:val="7CEB1320"/>
    <w:rsid w:val="7CF97645"/>
    <w:rsid w:val="7D080ECE"/>
    <w:rsid w:val="7D094AAC"/>
    <w:rsid w:val="7D141ECC"/>
    <w:rsid w:val="7D1D0AFD"/>
    <w:rsid w:val="7D2A4AC5"/>
    <w:rsid w:val="7D31434E"/>
    <w:rsid w:val="7D3514B9"/>
    <w:rsid w:val="7D444D5D"/>
    <w:rsid w:val="7D4E3379"/>
    <w:rsid w:val="7D51358B"/>
    <w:rsid w:val="7D603136"/>
    <w:rsid w:val="7D627F1A"/>
    <w:rsid w:val="7D6B752B"/>
    <w:rsid w:val="7D6F2D9D"/>
    <w:rsid w:val="7D77080E"/>
    <w:rsid w:val="7D7E65E3"/>
    <w:rsid w:val="7D81678B"/>
    <w:rsid w:val="7D8D738B"/>
    <w:rsid w:val="7D996543"/>
    <w:rsid w:val="7DA13A07"/>
    <w:rsid w:val="7DA42727"/>
    <w:rsid w:val="7DA97AE0"/>
    <w:rsid w:val="7DB046CF"/>
    <w:rsid w:val="7DB46E94"/>
    <w:rsid w:val="7DB525D0"/>
    <w:rsid w:val="7DCC6797"/>
    <w:rsid w:val="7DDD4ECC"/>
    <w:rsid w:val="7DF12071"/>
    <w:rsid w:val="7DF571CB"/>
    <w:rsid w:val="7DF651F8"/>
    <w:rsid w:val="7DFF528D"/>
    <w:rsid w:val="7E057183"/>
    <w:rsid w:val="7E0A3CEF"/>
    <w:rsid w:val="7E0C401D"/>
    <w:rsid w:val="7E0E3257"/>
    <w:rsid w:val="7E127553"/>
    <w:rsid w:val="7E1458FF"/>
    <w:rsid w:val="7E17455F"/>
    <w:rsid w:val="7E1B5C31"/>
    <w:rsid w:val="7E1E19F1"/>
    <w:rsid w:val="7E2B70B0"/>
    <w:rsid w:val="7E2F335B"/>
    <w:rsid w:val="7E456A57"/>
    <w:rsid w:val="7E580BC8"/>
    <w:rsid w:val="7E5A624D"/>
    <w:rsid w:val="7E5A755D"/>
    <w:rsid w:val="7E5D41E2"/>
    <w:rsid w:val="7E6E338D"/>
    <w:rsid w:val="7E7E77BB"/>
    <w:rsid w:val="7E8C0FAF"/>
    <w:rsid w:val="7E902799"/>
    <w:rsid w:val="7E95301D"/>
    <w:rsid w:val="7E9B4A3E"/>
    <w:rsid w:val="7EAF185E"/>
    <w:rsid w:val="7EB53044"/>
    <w:rsid w:val="7EBD25C7"/>
    <w:rsid w:val="7ECB706E"/>
    <w:rsid w:val="7EEC02CD"/>
    <w:rsid w:val="7EF057C7"/>
    <w:rsid w:val="7F015E08"/>
    <w:rsid w:val="7F153E24"/>
    <w:rsid w:val="7F154868"/>
    <w:rsid w:val="7F1C0BBE"/>
    <w:rsid w:val="7F230983"/>
    <w:rsid w:val="7F2B013D"/>
    <w:rsid w:val="7F326332"/>
    <w:rsid w:val="7F381A7F"/>
    <w:rsid w:val="7F3F2F6C"/>
    <w:rsid w:val="7F435855"/>
    <w:rsid w:val="7F4D0DA6"/>
    <w:rsid w:val="7F4D7D59"/>
    <w:rsid w:val="7F546CAE"/>
    <w:rsid w:val="7F594332"/>
    <w:rsid w:val="7F6D70BF"/>
    <w:rsid w:val="7F786C58"/>
    <w:rsid w:val="7F7956C3"/>
    <w:rsid w:val="7F7F3AE0"/>
    <w:rsid w:val="7F801822"/>
    <w:rsid w:val="7F844FBF"/>
    <w:rsid w:val="7F847082"/>
    <w:rsid w:val="7F855D3D"/>
    <w:rsid w:val="7F8A21B6"/>
    <w:rsid w:val="7F91057E"/>
    <w:rsid w:val="7FA800BD"/>
    <w:rsid w:val="7FA92680"/>
    <w:rsid w:val="7FAD6DCF"/>
    <w:rsid w:val="7FB359FE"/>
    <w:rsid w:val="7FB708C7"/>
    <w:rsid w:val="7FC3123A"/>
    <w:rsid w:val="7FD23335"/>
    <w:rsid w:val="7FE13ABC"/>
    <w:rsid w:val="7FE31DCE"/>
    <w:rsid w:val="7FE97677"/>
    <w:rsid w:val="7FF85C31"/>
    <w:rsid w:val="7FF877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176B1"/>
  <w15:docId w15:val="{9F56EDA6-9212-49CB-821B-4A489876C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line number"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2B1E90"/>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unhideWhenUsed/>
    <w:qFormat/>
    <w:pPr>
      <w:spacing w:beforeAutospacing="1" w:afterAutospacing="1"/>
      <w:jc w:val="left"/>
      <w:outlineLvl w:val="3"/>
    </w:pPr>
    <w:rPr>
      <w:rFonts w:ascii="宋体" w:eastAsia="宋体" w:hAnsi="宋体" w:cs="Times New Roman" w:hint="eastAsia"/>
      <w:b/>
      <w:kern w:val="0"/>
      <w:sz w:val="24"/>
    </w:rPr>
  </w:style>
  <w:style w:type="paragraph" w:styleId="5">
    <w:name w:val="heading 5"/>
    <w:basedOn w:val="a"/>
    <w:next w:val="a"/>
    <w:link w:val="50"/>
    <w:semiHidden/>
    <w:unhideWhenUsed/>
    <w:qFormat/>
    <w:rsid w:val="005843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646105"/>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qFormat/>
    <w:rPr>
      <w:color w:val="954F72" w:themeColor="followedHyperlink"/>
      <w:u w:val="single"/>
    </w:rPr>
  </w:style>
  <w:style w:type="character" w:styleId="ad">
    <w:name w:val="line number"/>
    <w:basedOn w:val="a0"/>
    <w:qFormat/>
  </w:style>
  <w:style w:type="character" w:styleId="ae">
    <w:name w:val="Hyperlink"/>
    <w:basedOn w:val="a0"/>
    <w:qFormat/>
    <w:rPr>
      <w:color w:val="0000FF"/>
      <w:u w:val="single"/>
    </w:rPr>
  </w:style>
  <w:style w:type="paragraph" w:customStyle="1" w:styleId="MDPI71References">
    <w:name w:val="MDPI_7.1_References"/>
    <w:basedOn w:val="MDPI62Acknowledgments"/>
    <w:qFormat/>
    <w:pPr>
      <w:numPr>
        <w:numId w:val="1"/>
      </w:numPr>
      <w:spacing w:before="0" w:line="260" w:lineRule="atLeast"/>
      <w:ind w:left="425" w:hanging="425"/>
    </w:pPr>
  </w:style>
  <w:style w:type="paragraph" w:customStyle="1" w:styleId="MDPI62Acknowledgments">
    <w:name w:val="MDPI_6.2_Acknowledgments"/>
    <w:qFormat/>
    <w:pPr>
      <w:adjustRightInd w:val="0"/>
      <w:snapToGrid w:val="0"/>
      <w:spacing w:before="120" w:line="200" w:lineRule="atLeast"/>
      <w:jc w:val="both"/>
    </w:pPr>
    <w:rPr>
      <w:rFonts w:ascii="Palatino Linotype" w:eastAsia="Times New Roman" w:hAnsi="Palatino Linotype"/>
      <w:snapToGrid w:val="0"/>
      <w:color w:val="000000"/>
      <w:sz w:val="18"/>
      <w:szCs w:val="22"/>
      <w:lang w:eastAsia="de-DE" w:bidi="en-US"/>
    </w:rPr>
  </w:style>
  <w:style w:type="paragraph" w:customStyle="1" w:styleId="MDPIheaderjournallogo">
    <w:name w:val="MDPI_header_journal_logo"/>
    <w:qFormat/>
    <w:pPr>
      <w:adjustRightInd w:val="0"/>
      <w:snapToGrid w:val="0"/>
    </w:pPr>
    <w:rPr>
      <w:rFonts w:ascii="Palatino Linotype" w:eastAsia="Times New Roman" w:hAnsi="Palatino Linotype"/>
      <w:i/>
      <w:color w:val="000000"/>
      <w:sz w:val="24"/>
      <w:szCs w:val="22"/>
      <w:lang w:eastAsia="de-CH"/>
    </w:rPr>
  </w:style>
  <w:style w:type="paragraph" w:customStyle="1" w:styleId="MDPIfooterfirstpage">
    <w:name w:val="MDPI_footer_firstpage"/>
    <w:basedOn w:val="MDPIfooter"/>
    <w:qFormat/>
    <w:pPr>
      <w:tabs>
        <w:tab w:val="right" w:pos="8845"/>
      </w:tabs>
      <w:spacing w:line="160" w:lineRule="exact"/>
      <w:jc w:val="left"/>
    </w:pPr>
    <w:rPr>
      <w:sz w:val="16"/>
    </w:rPr>
  </w:style>
  <w:style w:type="paragraph" w:customStyle="1" w:styleId="MDPIfooter">
    <w:name w:val="MDPI_footer"/>
    <w:qFormat/>
    <w:pPr>
      <w:adjustRightInd w:val="0"/>
      <w:snapToGrid w:val="0"/>
      <w:spacing w:before="120"/>
      <w:jc w:val="center"/>
    </w:pPr>
    <w:rPr>
      <w:rFonts w:ascii="Palatino Linotype" w:eastAsia="Times New Roman" w:hAnsi="Palatino Linotype"/>
      <w:sz w:val="21"/>
      <w:szCs w:val="22"/>
      <w:lang w:eastAsia="de-DE"/>
    </w:rPr>
  </w:style>
  <w:style w:type="paragraph" w:customStyle="1" w:styleId="MDPI52figure">
    <w:name w:val="MDPI_5.2_figure"/>
    <w:qFormat/>
    <w:pPr>
      <w:jc w:val="center"/>
    </w:pPr>
    <w:rPr>
      <w:rFonts w:ascii="Palatino Linotype" w:eastAsia="Times New Roman" w:hAnsi="Palatino Linotype" w:cstheme="minorBidi"/>
      <w:snapToGrid w:val="0"/>
      <w:color w:val="000000"/>
      <w:sz w:val="24"/>
      <w:szCs w:val="22"/>
      <w:lang w:eastAsia="de-DE" w:bidi="en-US"/>
    </w:rPr>
  </w:style>
  <w:style w:type="paragraph" w:customStyle="1" w:styleId="MDPI42tablebody">
    <w:name w:val="MDPI_4.2_table_body"/>
    <w:qFormat/>
    <w:pPr>
      <w:adjustRightInd w:val="0"/>
      <w:snapToGrid w:val="0"/>
    </w:pPr>
    <w:rPr>
      <w:rFonts w:ascii="Palatino Linotype" w:eastAsia="Times New Roman" w:hAnsi="Palatino Linotype" w:cstheme="minorBidi"/>
      <w:snapToGrid w:val="0"/>
      <w:color w:val="000000"/>
      <w:sz w:val="21"/>
      <w:szCs w:val="22"/>
      <w:lang w:eastAsia="de-DE" w:bidi="en-US"/>
    </w:rPr>
  </w:style>
  <w:style w:type="table" w:customStyle="1" w:styleId="Mdeck5tablebodythreelines">
    <w:name w:val="M_deck_5_table_body_three_lines"/>
    <w:basedOn w:val="a1"/>
    <w:uiPriority w:val="99"/>
    <w:qFormat/>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PI39equation">
    <w:name w:val="MDPI_3.9_equation"/>
    <w:basedOn w:val="MDPI31text"/>
    <w:qFormat/>
    <w:pPr>
      <w:spacing w:before="120" w:after="120"/>
      <w:ind w:left="709" w:firstLine="0"/>
      <w:jc w:val="center"/>
    </w:pPr>
  </w:style>
  <w:style w:type="paragraph" w:customStyle="1" w:styleId="MDPI31text">
    <w:name w:val="MDPI_3.1_text"/>
    <w:qFormat/>
    <w:pPr>
      <w:adjustRightInd w:val="0"/>
      <w:snapToGrid w:val="0"/>
      <w:spacing w:line="260" w:lineRule="atLeast"/>
      <w:ind w:firstLine="425"/>
      <w:jc w:val="both"/>
    </w:pPr>
    <w:rPr>
      <w:rFonts w:ascii="Palatino Linotype" w:eastAsia="Times New Roman" w:hAnsi="Palatino Linotype"/>
      <w:snapToGrid w:val="0"/>
      <w:color w:val="000000"/>
      <w:sz w:val="21"/>
      <w:szCs w:val="22"/>
      <w:lang w:eastAsia="de-DE" w:bidi="en-US"/>
    </w:rPr>
  </w:style>
  <w:style w:type="paragraph" w:customStyle="1" w:styleId="MDPI3aequationnumber">
    <w:name w:val="MDPI_3.a_equation_number"/>
    <w:basedOn w:val="MDPI31text"/>
    <w:qFormat/>
    <w:pPr>
      <w:spacing w:before="120" w:after="120" w:line="240" w:lineRule="auto"/>
      <w:ind w:firstLine="0"/>
      <w:jc w:val="right"/>
    </w:p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30">
    <w:name w:val="标题 3 字符"/>
    <w:basedOn w:val="a0"/>
    <w:link w:val="3"/>
    <w:semiHidden/>
    <w:rsid w:val="002B1E90"/>
    <w:rPr>
      <w:rFonts w:asciiTheme="majorHAnsi" w:eastAsiaTheme="majorEastAsia" w:hAnsiTheme="majorHAnsi" w:cstheme="majorBidi"/>
      <w:color w:val="1F4D78" w:themeColor="accent1" w:themeShade="7F"/>
      <w:kern w:val="2"/>
      <w:sz w:val="24"/>
      <w:szCs w:val="24"/>
    </w:rPr>
  </w:style>
  <w:style w:type="character" w:customStyle="1" w:styleId="a8">
    <w:name w:val="页脚 字符"/>
    <w:basedOn w:val="a0"/>
    <w:link w:val="a7"/>
    <w:uiPriority w:val="99"/>
    <w:rsid w:val="00BF3D74"/>
    <w:rPr>
      <w:rFonts w:asciiTheme="minorHAnsi" w:eastAsiaTheme="minorEastAsia" w:hAnsiTheme="minorHAnsi" w:cstheme="minorBidi"/>
      <w:kern w:val="2"/>
      <w:sz w:val="18"/>
      <w:szCs w:val="24"/>
    </w:rPr>
  </w:style>
  <w:style w:type="paragraph" w:styleId="af">
    <w:name w:val="Revision"/>
    <w:hidden/>
    <w:uiPriority w:val="99"/>
    <w:unhideWhenUsed/>
    <w:rsid w:val="006D3744"/>
    <w:rPr>
      <w:rFonts w:asciiTheme="minorHAnsi" w:eastAsiaTheme="minorEastAsia" w:hAnsiTheme="minorHAnsi" w:cstheme="minorBidi"/>
      <w:kern w:val="2"/>
      <w:sz w:val="21"/>
      <w:szCs w:val="24"/>
    </w:rPr>
  </w:style>
  <w:style w:type="character" w:customStyle="1" w:styleId="60">
    <w:name w:val="标题 6 字符"/>
    <w:basedOn w:val="a0"/>
    <w:link w:val="6"/>
    <w:semiHidden/>
    <w:rsid w:val="00646105"/>
    <w:rPr>
      <w:rFonts w:asciiTheme="majorHAnsi" w:eastAsiaTheme="majorEastAsia" w:hAnsiTheme="majorHAnsi" w:cstheme="majorBidi"/>
      <w:color w:val="1F4D78" w:themeColor="accent1" w:themeShade="7F"/>
      <w:kern w:val="2"/>
      <w:sz w:val="21"/>
      <w:szCs w:val="24"/>
    </w:rPr>
  </w:style>
  <w:style w:type="paragraph" w:styleId="af0">
    <w:name w:val="Body Text"/>
    <w:basedOn w:val="a"/>
    <w:link w:val="af1"/>
    <w:rsid w:val="002939F4"/>
    <w:pPr>
      <w:spacing w:after="120"/>
    </w:pPr>
  </w:style>
  <w:style w:type="character" w:customStyle="1" w:styleId="af1">
    <w:name w:val="正文文本 字符"/>
    <w:basedOn w:val="a0"/>
    <w:link w:val="af0"/>
    <w:rsid w:val="002939F4"/>
    <w:rPr>
      <w:rFonts w:asciiTheme="minorHAnsi" w:eastAsiaTheme="minorEastAsia" w:hAnsiTheme="minorHAnsi" w:cstheme="minorBidi"/>
      <w:kern w:val="2"/>
      <w:sz w:val="21"/>
      <w:szCs w:val="24"/>
    </w:rPr>
  </w:style>
  <w:style w:type="paragraph" w:styleId="af2">
    <w:name w:val="List Paragraph"/>
    <w:basedOn w:val="a"/>
    <w:uiPriority w:val="99"/>
    <w:unhideWhenUsed/>
    <w:rsid w:val="00F9184A"/>
    <w:pPr>
      <w:ind w:left="720"/>
      <w:contextualSpacing/>
    </w:pPr>
  </w:style>
  <w:style w:type="character" w:styleId="af3">
    <w:name w:val="annotation reference"/>
    <w:basedOn w:val="a0"/>
    <w:rsid w:val="00CC3FFF"/>
    <w:rPr>
      <w:sz w:val="16"/>
      <w:szCs w:val="16"/>
    </w:rPr>
  </w:style>
  <w:style w:type="paragraph" w:styleId="af4">
    <w:name w:val="annotation subject"/>
    <w:basedOn w:val="a3"/>
    <w:next w:val="a3"/>
    <w:link w:val="af5"/>
    <w:rsid w:val="00CC3FFF"/>
    <w:pPr>
      <w:jc w:val="both"/>
    </w:pPr>
    <w:rPr>
      <w:b/>
      <w:bCs/>
      <w:sz w:val="20"/>
      <w:szCs w:val="20"/>
    </w:rPr>
  </w:style>
  <w:style w:type="character" w:customStyle="1" w:styleId="a4">
    <w:name w:val="批注文字 字符"/>
    <w:basedOn w:val="a0"/>
    <w:link w:val="a3"/>
    <w:rsid w:val="00CC3FFF"/>
    <w:rPr>
      <w:rFonts w:asciiTheme="minorHAnsi" w:eastAsiaTheme="minorEastAsia" w:hAnsiTheme="minorHAnsi" w:cstheme="minorBidi"/>
      <w:kern w:val="2"/>
      <w:sz w:val="21"/>
      <w:szCs w:val="24"/>
    </w:rPr>
  </w:style>
  <w:style w:type="character" w:customStyle="1" w:styleId="af5">
    <w:name w:val="批注主题 字符"/>
    <w:basedOn w:val="a4"/>
    <w:link w:val="af4"/>
    <w:rsid w:val="00CC3FFF"/>
    <w:rPr>
      <w:rFonts w:asciiTheme="minorHAnsi" w:eastAsiaTheme="minorEastAsia" w:hAnsiTheme="minorHAnsi" w:cstheme="minorBidi"/>
      <w:b/>
      <w:bCs/>
      <w:kern w:val="2"/>
      <w:sz w:val="21"/>
      <w:szCs w:val="24"/>
    </w:rPr>
  </w:style>
  <w:style w:type="character" w:customStyle="1" w:styleId="50">
    <w:name w:val="标题 5 字符"/>
    <w:basedOn w:val="a0"/>
    <w:link w:val="5"/>
    <w:semiHidden/>
    <w:rsid w:val="005843CE"/>
    <w:rPr>
      <w:rFonts w:asciiTheme="majorHAnsi" w:eastAsiaTheme="majorEastAsia" w:hAnsiTheme="majorHAnsi" w:cstheme="majorBidi"/>
      <w:color w:val="2E74B5" w:themeColor="accent1" w:themeShade="BF"/>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369610">
      <w:bodyDiv w:val="1"/>
      <w:marLeft w:val="0"/>
      <w:marRight w:val="0"/>
      <w:marTop w:val="0"/>
      <w:marBottom w:val="0"/>
      <w:divBdr>
        <w:top w:val="none" w:sz="0" w:space="0" w:color="auto"/>
        <w:left w:val="none" w:sz="0" w:space="0" w:color="auto"/>
        <w:bottom w:val="none" w:sz="0" w:space="0" w:color="auto"/>
        <w:right w:val="none" w:sz="0" w:space="0" w:color="auto"/>
      </w:divBdr>
    </w:div>
    <w:div w:id="239950563">
      <w:bodyDiv w:val="1"/>
      <w:marLeft w:val="0"/>
      <w:marRight w:val="0"/>
      <w:marTop w:val="0"/>
      <w:marBottom w:val="0"/>
      <w:divBdr>
        <w:top w:val="none" w:sz="0" w:space="0" w:color="auto"/>
        <w:left w:val="none" w:sz="0" w:space="0" w:color="auto"/>
        <w:bottom w:val="none" w:sz="0" w:space="0" w:color="auto"/>
        <w:right w:val="none" w:sz="0" w:space="0" w:color="auto"/>
      </w:divBdr>
    </w:div>
    <w:div w:id="584919997">
      <w:bodyDiv w:val="1"/>
      <w:marLeft w:val="0"/>
      <w:marRight w:val="0"/>
      <w:marTop w:val="0"/>
      <w:marBottom w:val="0"/>
      <w:divBdr>
        <w:top w:val="none" w:sz="0" w:space="0" w:color="auto"/>
        <w:left w:val="none" w:sz="0" w:space="0" w:color="auto"/>
        <w:bottom w:val="none" w:sz="0" w:space="0" w:color="auto"/>
        <w:right w:val="none" w:sz="0" w:space="0" w:color="auto"/>
      </w:divBdr>
    </w:div>
    <w:div w:id="958877112">
      <w:bodyDiv w:val="1"/>
      <w:marLeft w:val="0"/>
      <w:marRight w:val="0"/>
      <w:marTop w:val="0"/>
      <w:marBottom w:val="0"/>
      <w:divBdr>
        <w:top w:val="none" w:sz="0" w:space="0" w:color="auto"/>
        <w:left w:val="none" w:sz="0" w:space="0" w:color="auto"/>
        <w:bottom w:val="none" w:sz="0" w:space="0" w:color="auto"/>
        <w:right w:val="none" w:sz="0" w:space="0" w:color="auto"/>
      </w:divBdr>
    </w:div>
    <w:div w:id="1472409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5307E0-D77E-4430-B59F-7B5BD186B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49</Pages>
  <Words>28948</Words>
  <Characters>165004</Characters>
  <Application>Microsoft Office Word</Application>
  <DocSecurity>0</DocSecurity>
  <Lines>1375</Lines>
  <Paragraphs>387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Erin Chee</cp:lastModifiedBy>
  <cp:revision>27</cp:revision>
  <cp:lastPrinted>2026-04-27T07:16:00Z</cp:lastPrinted>
  <dcterms:created xsi:type="dcterms:W3CDTF">2026-04-27T07:10:00Z</dcterms:created>
  <dcterms:modified xsi:type="dcterms:W3CDTF">2026-06-03T06:18:00Z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8BAB685AD22F437F9C04E248B398B4C5_12</vt:lpwstr>
  </property>
  <property fmtid="{D5CDD505-2E9C-101B-9397-08002B2CF9AE}" pid="4" name="GrammarlyDocumentId">
    <vt:lpwstr>661d3b8f-7c97-4a22-b595-cdeb4a20bda1</vt:lpwstr>
  </property>
</Properties>
</file>